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EE" w:rsidRDefault="00F202EE" w:rsidP="00F202EE">
      <w:pPr>
        <w:spacing w:before="0" w:after="0"/>
        <w:jc w:val="right"/>
        <w:rPr>
          <w:rFonts w:ascii="Times New Roman" w:hAnsi="Times New Roman"/>
          <w:b/>
        </w:rPr>
      </w:pPr>
      <w:r w:rsidRPr="00F202EE">
        <w:rPr>
          <w:rFonts w:ascii="Times New Roman" w:hAnsi="Times New Roman"/>
          <w:b/>
        </w:rPr>
        <w:t xml:space="preserve">Załącznik nr </w:t>
      </w:r>
      <w:r w:rsidR="00963ADB">
        <w:rPr>
          <w:rFonts w:ascii="Times New Roman" w:hAnsi="Times New Roman"/>
          <w:b/>
        </w:rPr>
        <w:t>1</w:t>
      </w:r>
      <w:r w:rsidR="009445F5">
        <w:rPr>
          <w:rFonts w:ascii="Times New Roman" w:hAnsi="Times New Roman"/>
          <w:b/>
        </w:rPr>
        <w:t xml:space="preserve"> do </w:t>
      </w:r>
      <w:r w:rsidR="00963ADB">
        <w:rPr>
          <w:rFonts w:ascii="Times New Roman" w:hAnsi="Times New Roman"/>
          <w:b/>
        </w:rPr>
        <w:t>Istotnych postanowień umowy</w:t>
      </w:r>
    </w:p>
    <w:p w:rsidR="009445F5" w:rsidRDefault="009445F5" w:rsidP="009445F5">
      <w:pPr>
        <w:spacing w:before="0" w:after="0"/>
        <w:jc w:val="center"/>
        <w:rPr>
          <w:rFonts w:ascii="Times New Roman" w:hAnsi="Times New Roman"/>
          <w:b/>
        </w:rPr>
      </w:pPr>
    </w:p>
    <w:p w:rsidR="009445F5" w:rsidRPr="00F202EE" w:rsidRDefault="009445F5" w:rsidP="009445F5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SZCZEGÓŁOWE WARUNKI GWARANCJI</w:t>
      </w:r>
    </w:p>
    <w:p w:rsidR="00F202EE" w:rsidRDefault="00F202EE" w:rsidP="00F202EE">
      <w:pPr>
        <w:spacing w:before="0" w:after="0"/>
        <w:rPr>
          <w:rFonts w:ascii="Times New Roman" w:hAnsi="Times New Roman"/>
        </w:rPr>
      </w:pPr>
    </w:p>
    <w:p w:rsidR="009445F5" w:rsidRDefault="009445F5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731DCE">
        <w:rPr>
          <w:rFonts w:ascii="Times New Roman" w:hAnsi="Times New Roman"/>
        </w:rPr>
        <w:t>Wykonawca udziela Zamawiającemu 12-miesięcznej gwarancji na wykonany, przekazany i wdrożony Portal Aplikacji Legislacyjnej, zwany</w:t>
      </w:r>
      <w:r w:rsidR="00C67649">
        <w:rPr>
          <w:rFonts w:ascii="Times New Roman" w:hAnsi="Times New Roman"/>
        </w:rPr>
        <w:t>m</w:t>
      </w:r>
      <w:r w:rsidRPr="00731DCE">
        <w:rPr>
          <w:rFonts w:ascii="Times New Roman" w:hAnsi="Times New Roman"/>
        </w:rPr>
        <w:t xml:space="preserve"> dalej „PAL”. Gwarancja obejmuje prawidłowe funkcjonowanie PAL, w tym prawidłowe funkcjonowanie systemu zarządzania zawartością.</w:t>
      </w:r>
    </w:p>
    <w:p w:rsidR="00731DCE" w:rsidRDefault="00731DCE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731DCE">
        <w:rPr>
          <w:rFonts w:ascii="Times New Roman" w:hAnsi="Times New Roman"/>
        </w:rPr>
        <w:t>W ramach gwarancji Wykonawca oferuje bezpłatną obsługę i naprawę wszystkich zgłoszeń dotyczących problemów technicznych.</w:t>
      </w:r>
    </w:p>
    <w:p w:rsidR="003E6BEC" w:rsidRPr="007C67D2" w:rsidRDefault="003E6BEC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7C67D2">
        <w:rPr>
          <w:rFonts w:ascii="Times New Roman" w:hAnsi="Times New Roman"/>
        </w:rPr>
        <w:t>Zgłoszenie awarii będzie dokonywane pisemnie, telefoniczne faksem lub pocztą elektroniczną w g</w:t>
      </w:r>
      <w:r w:rsidR="00FC16A7" w:rsidRPr="007C67D2">
        <w:rPr>
          <w:rFonts w:ascii="Times New Roman" w:hAnsi="Times New Roman"/>
        </w:rPr>
        <w:t xml:space="preserve">odzinach pracy Zamawiającego: </w:t>
      </w:r>
      <w:proofErr w:type="spellStart"/>
      <w:r w:rsidR="00FC16A7" w:rsidRPr="007C67D2">
        <w:rPr>
          <w:rFonts w:ascii="Times New Roman" w:hAnsi="Times New Roman"/>
        </w:rPr>
        <w:t>tel</w:t>
      </w:r>
      <w:proofErr w:type="spellEnd"/>
      <w:r w:rsidR="00FC16A7" w:rsidRPr="007C67D2">
        <w:rPr>
          <w:rFonts w:ascii="Times New Roman" w:hAnsi="Times New Roman"/>
        </w:rPr>
        <w:t>…</w:t>
      </w:r>
      <w:r w:rsidR="007C67D2">
        <w:rPr>
          <w:rFonts w:ascii="Times New Roman" w:hAnsi="Times New Roman"/>
        </w:rPr>
        <w:t>………..</w:t>
      </w:r>
      <w:r w:rsidR="00FC16A7" w:rsidRPr="007C67D2">
        <w:rPr>
          <w:rFonts w:ascii="Times New Roman" w:hAnsi="Times New Roman"/>
        </w:rPr>
        <w:t>……, faks. ………., e-mail:</w:t>
      </w:r>
      <w:r w:rsidRPr="007C67D2">
        <w:rPr>
          <w:rFonts w:ascii="Times New Roman" w:hAnsi="Times New Roman"/>
        </w:rPr>
        <w:t>……</w:t>
      </w:r>
      <w:r w:rsidR="00731DCE" w:rsidRPr="007C67D2">
        <w:rPr>
          <w:rFonts w:ascii="Times New Roman" w:hAnsi="Times New Roman"/>
        </w:rPr>
        <w:t>…………</w:t>
      </w:r>
      <w:r w:rsidR="00C67649" w:rsidRPr="007C67D2">
        <w:rPr>
          <w:rFonts w:ascii="Times New Roman" w:hAnsi="Times New Roman"/>
        </w:rPr>
        <w:t>..</w:t>
      </w:r>
    </w:p>
    <w:p w:rsidR="003E6BEC" w:rsidRPr="007C67D2" w:rsidRDefault="00314966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7C67D2">
        <w:rPr>
          <w:rFonts w:ascii="Times New Roman" w:hAnsi="Times New Roman"/>
        </w:rPr>
        <w:t>Czas n</w:t>
      </w:r>
      <w:r w:rsidR="00731DCE" w:rsidRPr="007C67D2">
        <w:rPr>
          <w:rFonts w:ascii="Times New Roman" w:hAnsi="Times New Roman"/>
        </w:rPr>
        <w:t>aprawy wynosić będzie</w:t>
      </w:r>
      <w:r w:rsidR="003E6BEC" w:rsidRPr="007C67D2">
        <w:rPr>
          <w:rFonts w:ascii="Times New Roman" w:hAnsi="Times New Roman"/>
        </w:rPr>
        <w:t>:</w:t>
      </w:r>
    </w:p>
    <w:p w:rsidR="009445F5" w:rsidRPr="007C67D2" w:rsidRDefault="00C67649" w:rsidP="00314966">
      <w:pPr>
        <w:pStyle w:val="Akapitzlist"/>
        <w:numPr>
          <w:ilvl w:val="0"/>
          <w:numId w:val="5"/>
        </w:numPr>
        <w:spacing w:before="0" w:after="0"/>
        <w:ind w:left="1276"/>
        <w:rPr>
          <w:rFonts w:ascii="Times New Roman" w:hAnsi="Times New Roman"/>
        </w:rPr>
      </w:pPr>
      <w:r w:rsidRPr="007C67D2">
        <w:rPr>
          <w:rFonts w:ascii="Times New Roman" w:hAnsi="Times New Roman"/>
        </w:rPr>
        <w:t>w</w:t>
      </w:r>
      <w:r w:rsidR="00731DCE" w:rsidRPr="007C67D2">
        <w:rPr>
          <w:rFonts w:ascii="Times New Roman" w:hAnsi="Times New Roman"/>
        </w:rPr>
        <w:t xml:space="preserve"> przypadku awarii krytycznych, czyli takic</w:t>
      </w:r>
      <w:r w:rsidR="00314966" w:rsidRPr="007C67D2">
        <w:rPr>
          <w:rFonts w:ascii="Times New Roman" w:hAnsi="Times New Roman"/>
        </w:rPr>
        <w:t xml:space="preserve">h, które powodują, iż PAL </w:t>
      </w:r>
      <w:r w:rsidR="00731DCE" w:rsidRPr="007C67D2">
        <w:rPr>
          <w:rFonts w:ascii="Times New Roman" w:hAnsi="Times New Roman"/>
        </w:rPr>
        <w:t>przestał funkcjonować, bądź też jego podstawowe funkcje opisane w Załączniku nr 1 do Umowy „Szczegółowy opis przedmiotu zamówienia”</w:t>
      </w:r>
      <w:r w:rsidR="00314966" w:rsidRPr="007C67D2">
        <w:rPr>
          <w:rFonts w:ascii="Times New Roman" w:hAnsi="Times New Roman"/>
        </w:rPr>
        <w:t>, zwanego dalej „OPZ”</w:t>
      </w:r>
      <w:r w:rsidR="007C67D2" w:rsidRPr="007C67D2">
        <w:rPr>
          <w:rFonts w:ascii="Times New Roman" w:hAnsi="Times New Roman"/>
        </w:rPr>
        <w:t>, nie mogą być pełnione – do godz. 12 następnego dnia roboczego od dnia zgłoszenia</w:t>
      </w:r>
      <w:r w:rsidR="00731DCE" w:rsidRPr="007C67D2">
        <w:rPr>
          <w:rFonts w:ascii="Times New Roman" w:hAnsi="Times New Roman"/>
        </w:rPr>
        <w:t>;</w:t>
      </w:r>
    </w:p>
    <w:p w:rsidR="00314966" w:rsidRPr="007C67D2" w:rsidRDefault="00C67649" w:rsidP="00314966">
      <w:pPr>
        <w:pStyle w:val="Akapitzlist"/>
        <w:numPr>
          <w:ilvl w:val="0"/>
          <w:numId w:val="5"/>
        </w:numPr>
        <w:spacing w:before="0" w:after="0"/>
        <w:ind w:left="1276"/>
        <w:rPr>
          <w:rFonts w:ascii="Times New Roman" w:hAnsi="Times New Roman"/>
          <w:color w:val="FF0000"/>
        </w:rPr>
      </w:pPr>
      <w:r w:rsidRPr="007C67D2">
        <w:rPr>
          <w:rFonts w:ascii="Times New Roman" w:hAnsi="Times New Roman"/>
        </w:rPr>
        <w:t>w</w:t>
      </w:r>
      <w:r w:rsidR="00731DCE" w:rsidRPr="007C67D2">
        <w:rPr>
          <w:rFonts w:ascii="Times New Roman" w:hAnsi="Times New Roman"/>
        </w:rPr>
        <w:t xml:space="preserve"> przypadku awarii wysokiego poziomu, czyli takich, które częściowo ograniczają </w:t>
      </w:r>
      <w:r w:rsidR="00314966" w:rsidRPr="007C67D2">
        <w:rPr>
          <w:rFonts w:ascii="Times New Roman" w:hAnsi="Times New Roman"/>
        </w:rPr>
        <w:t>PAL</w:t>
      </w:r>
      <w:r w:rsidR="00731DCE" w:rsidRPr="007C67D2">
        <w:rPr>
          <w:rFonts w:ascii="Times New Roman" w:hAnsi="Times New Roman"/>
        </w:rPr>
        <w:t xml:space="preserve"> i jego możliwości, jednak </w:t>
      </w:r>
      <w:r w:rsidR="00314966" w:rsidRPr="007C67D2">
        <w:rPr>
          <w:rFonts w:ascii="Times New Roman" w:hAnsi="Times New Roman"/>
        </w:rPr>
        <w:t>PAL</w:t>
      </w:r>
      <w:r w:rsidR="00731DCE" w:rsidRPr="007C67D2">
        <w:rPr>
          <w:rFonts w:ascii="Times New Roman" w:hAnsi="Times New Roman"/>
        </w:rPr>
        <w:t xml:space="preserve"> </w:t>
      </w:r>
      <w:r w:rsidR="00314966" w:rsidRPr="007C67D2">
        <w:rPr>
          <w:rFonts w:ascii="Times New Roman" w:hAnsi="Times New Roman"/>
        </w:rPr>
        <w:t xml:space="preserve">posiada dostęp do funkcji opisanych w OPZ, czas naprawy wynosi </w:t>
      </w:r>
      <w:r w:rsidR="007C67D2" w:rsidRPr="007C67D2">
        <w:rPr>
          <w:rFonts w:ascii="Times New Roman" w:hAnsi="Times New Roman"/>
        </w:rPr>
        <w:t xml:space="preserve">– do godz. </w:t>
      </w:r>
      <w:r w:rsidR="007C67D2">
        <w:rPr>
          <w:rFonts w:ascii="Times New Roman" w:hAnsi="Times New Roman"/>
        </w:rPr>
        <w:t>12</w:t>
      </w:r>
      <w:r w:rsidR="007C67D2" w:rsidRPr="007C67D2">
        <w:rPr>
          <w:rFonts w:ascii="Times New Roman" w:hAnsi="Times New Roman"/>
        </w:rPr>
        <w:t xml:space="preserve"> </w:t>
      </w:r>
      <w:r w:rsidR="007C67D2">
        <w:rPr>
          <w:rFonts w:ascii="Times New Roman" w:hAnsi="Times New Roman"/>
        </w:rPr>
        <w:t>drugiego</w:t>
      </w:r>
      <w:r w:rsidR="007C67D2" w:rsidRPr="007C67D2">
        <w:rPr>
          <w:rFonts w:ascii="Times New Roman" w:hAnsi="Times New Roman"/>
        </w:rPr>
        <w:t xml:space="preserve"> dnia roboczego od dnia zgłoszenia</w:t>
      </w:r>
      <w:r w:rsidR="00314966" w:rsidRPr="007C67D2">
        <w:rPr>
          <w:rFonts w:ascii="Times New Roman" w:hAnsi="Times New Roman"/>
        </w:rPr>
        <w:t>;</w:t>
      </w:r>
    </w:p>
    <w:p w:rsidR="007477CE" w:rsidRPr="007477CE" w:rsidRDefault="00C67649" w:rsidP="007477CE">
      <w:pPr>
        <w:pStyle w:val="Akapitzlist"/>
        <w:numPr>
          <w:ilvl w:val="0"/>
          <w:numId w:val="5"/>
        </w:numPr>
        <w:spacing w:before="0" w:after="0"/>
        <w:ind w:left="1276"/>
        <w:rPr>
          <w:rFonts w:ascii="Times New Roman" w:hAnsi="Times New Roman"/>
          <w:color w:val="FF0000"/>
        </w:rPr>
      </w:pPr>
      <w:r w:rsidRPr="007C67D2">
        <w:rPr>
          <w:rFonts w:ascii="Times New Roman" w:hAnsi="Times New Roman"/>
        </w:rPr>
        <w:t>w</w:t>
      </w:r>
      <w:r w:rsidR="00314966" w:rsidRPr="007C67D2">
        <w:rPr>
          <w:rFonts w:ascii="Times New Roman" w:hAnsi="Times New Roman"/>
        </w:rPr>
        <w:t xml:space="preserve"> przypadku awarii średniego poziomu, czyli takich, które osłabiają funkcjonowanie PAL, jednak PAL posiada dos</w:t>
      </w:r>
      <w:r w:rsidR="007C67D2" w:rsidRPr="007C67D2">
        <w:rPr>
          <w:rFonts w:ascii="Times New Roman" w:hAnsi="Times New Roman"/>
        </w:rPr>
        <w:t>tęp do funkcji opisanych w OPZ – do godz. 16 drugiego dnia roboczego od dnia zgłoszenia</w:t>
      </w:r>
      <w:r w:rsidR="00314966" w:rsidRPr="007C67D2">
        <w:rPr>
          <w:rFonts w:ascii="Times New Roman" w:hAnsi="Times New Roman"/>
        </w:rPr>
        <w:t xml:space="preserve">; </w:t>
      </w:r>
    </w:p>
    <w:p w:rsidR="0024231C" w:rsidRPr="007477CE" w:rsidRDefault="00C67649" w:rsidP="007477CE">
      <w:pPr>
        <w:pStyle w:val="Akapitzlist"/>
        <w:numPr>
          <w:ilvl w:val="0"/>
          <w:numId w:val="5"/>
        </w:numPr>
        <w:spacing w:before="0" w:after="0"/>
        <w:ind w:left="1276"/>
        <w:rPr>
          <w:rFonts w:ascii="Times New Roman" w:hAnsi="Times New Roman"/>
          <w:color w:val="FF0000"/>
        </w:rPr>
      </w:pPr>
      <w:r w:rsidRPr="007477CE">
        <w:rPr>
          <w:rFonts w:ascii="Times New Roman" w:hAnsi="Times New Roman"/>
        </w:rPr>
        <w:t>w</w:t>
      </w:r>
      <w:r w:rsidR="00314966" w:rsidRPr="007477CE">
        <w:rPr>
          <w:rFonts w:ascii="Times New Roman" w:hAnsi="Times New Roman"/>
        </w:rPr>
        <w:t xml:space="preserve"> przypadku pozostałych zgłoszeń, czyli zgłoszeń dotyczących awarii PAL, bądź też jego nieprawidłowego funkcjonowania, nie mających wpływu na fu</w:t>
      </w:r>
      <w:r w:rsidR="007C67D2" w:rsidRPr="007477CE">
        <w:rPr>
          <w:rFonts w:ascii="Times New Roman" w:hAnsi="Times New Roman"/>
        </w:rPr>
        <w:t>nkcjonalność PAL opisaną w OPZ – do godz. 16 trzeciego dnia roboczego od dnia zgłoszenia</w:t>
      </w:r>
      <w:r w:rsidR="00314966" w:rsidRPr="007477CE">
        <w:rPr>
          <w:rFonts w:ascii="Times New Roman" w:hAnsi="Times New Roman"/>
        </w:rPr>
        <w:t>.</w:t>
      </w:r>
      <w:r w:rsidR="00154900" w:rsidRPr="007477CE">
        <w:rPr>
          <w:rFonts w:ascii="Times New Roman" w:hAnsi="Times New Roman"/>
        </w:rPr>
        <w:t xml:space="preserve"> </w:t>
      </w:r>
    </w:p>
    <w:p w:rsidR="00731DCE" w:rsidRPr="0024231C" w:rsidRDefault="00731DCE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24231C">
        <w:rPr>
          <w:rFonts w:ascii="Times New Roman" w:hAnsi="Times New Roman"/>
        </w:rPr>
        <w:t>W ramach gwarancji Wykonawca zapewni dostęp do poprawek i nowych wersji oprogramowania na którym bazuje PAL przez okres trwania gwarancji.</w:t>
      </w:r>
    </w:p>
    <w:p w:rsidR="009445F5" w:rsidRDefault="009445F5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731DCE">
        <w:rPr>
          <w:rFonts w:ascii="Times New Roman" w:hAnsi="Times New Roman"/>
        </w:rPr>
        <w:t xml:space="preserve">Wykonawca co najmniej raz na 6 miesięcy obowiązywania gwarancji zweryfikuje dostępność nowych poprawek i aktualizacji oprogramowania. Jeśli dostępne będą nowe </w:t>
      </w:r>
      <w:r w:rsidRPr="00AE199A">
        <w:rPr>
          <w:rFonts w:ascii="Times New Roman" w:hAnsi="Times New Roman"/>
        </w:rPr>
        <w:t>zalecane przez producenta</w:t>
      </w:r>
      <w:r w:rsidRPr="00731DCE">
        <w:rPr>
          <w:rFonts w:ascii="Times New Roman" w:hAnsi="Times New Roman"/>
        </w:rPr>
        <w:t xml:space="preserve"> poprawki lub aktualizacje, Wykonawca nieodpłatnie dokona ich instalacji i konfiguracji w trybie i terminie ustalonym z Zamawiającym.</w:t>
      </w:r>
    </w:p>
    <w:p w:rsidR="00AE199A" w:rsidRDefault="00AE199A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 przypadku dokonania aktualizacji oprogramowania, Wykonawca zobowiązany jest do zmodyfikowania Dokumentacji technicznej PAL.</w:t>
      </w:r>
    </w:p>
    <w:p w:rsidR="00314966" w:rsidRDefault="00314966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 ramach gwarancji Wykonawca w okresie jej trwania będzie świadczył usługi konsultacji technicznej</w:t>
      </w:r>
      <w:r w:rsidR="00C676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terminach ustalonych w trybie roboczym</w:t>
      </w:r>
      <w:r w:rsidR="00C676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łącznym wymiarze do </w:t>
      </w:r>
      <w:r w:rsidR="005C72BA">
        <w:rPr>
          <w:rFonts w:ascii="Times New Roman" w:hAnsi="Times New Roman"/>
        </w:rPr>
        <w:t>72 godzin</w:t>
      </w:r>
      <w:r>
        <w:rPr>
          <w:rFonts w:ascii="Times New Roman" w:hAnsi="Times New Roman"/>
        </w:rPr>
        <w:t>. Każdorazowa konsultacja oraz czas jej trwania potwierdzan</w:t>
      </w:r>
      <w:r w:rsidR="00C6764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będ</w:t>
      </w:r>
      <w:r w:rsidR="00C67649">
        <w:rPr>
          <w:rFonts w:ascii="Times New Roman" w:hAnsi="Times New Roman"/>
        </w:rPr>
        <w:t>zie</w:t>
      </w:r>
      <w:r>
        <w:rPr>
          <w:rFonts w:ascii="Times New Roman" w:hAnsi="Times New Roman"/>
        </w:rPr>
        <w:t xml:space="preserve"> przez obie strony.</w:t>
      </w:r>
    </w:p>
    <w:p w:rsidR="00314966" w:rsidRDefault="00314966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Konsultacje techniczne będą realizowane drogą telefoniczną i elektroniczną. W uzasadnionych przypadkach Wykonawca zobowiązuje się do realizowania konsultacji technicznych w siedzibie Zamawiającego.</w:t>
      </w:r>
      <w:r w:rsidR="00C67649">
        <w:rPr>
          <w:rFonts w:ascii="Times New Roman" w:hAnsi="Times New Roman"/>
        </w:rPr>
        <w:t xml:space="preserve"> Czas dojazdu do siedziby Zamawiającego nie będzie wliczany w czas konsultacji.</w:t>
      </w:r>
    </w:p>
    <w:p w:rsidR="00314966" w:rsidRDefault="00314966" w:rsidP="009445F5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Konsultacje będą obejmować: udzielanie wyjaśnień, prace inst</w:t>
      </w:r>
      <w:r w:rsidR="00154900">
        <w:rPr>
          <w:rFonts w:ascii="Times New Roman" w:hAnsi="Times New Roman"/>
        </w:rPr>
        <w:t>alacyjne, konfiguracyjne, wydawanie opinii na temat wykorzystania i rozbudowy PAL.</w:t>
      </w:r>
    </w:p>
    <w:p w:rsidR="00E1279A" w:rsidRPr="00731DCE" w:rsidRDefault="00E1279A"/>
    <w:sectPr w:rsidR="00E1279A" w:rsidRPr="00731DCE" w:rsidSect="009445F5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0" w:footer="567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9A" w:rsidRDefault="00AE199A" w:rsidP="009C4071">
      <w:pPr>
        <w:spacing w:before="0" w:after="0" w:line="240" w:lineRule="auto"/>
      </w:pPr>
      <w:r>
        <w:separator/>
      </w:r>
    </w:p>
  </w:endnote>
  <w:endnote w:type="continuationSeparator" w:id="0">
    <w:p w:rsidR="00AE199A" w:rsidRDefault="00AE199A" w:rsidP="009C40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9A" w:rsidRPr="00534F34" w:rsidRDefault="00AE199A" w:rsidP="00945B9E">
    <w:pPr>
      <w:pStyle w:val="Stopka"/>
      <w:spacing w:before="0" w:after="0" w:line="240" w:lineRule="auto"/>
      <w:rPr>
        <w:i/>
        <w:sz w:val="18"/>
        <w:szCs w:val="18"/>
      </w:rPr>
    </w:pPr>
    <w:r w:rsidRPr="00534F34">
      <w:rPr>
        <w:i/>
        <w:sz w:val="18"/>
        <w:szCs w:val="18"/>
      </w:rPr>
      <w:t>Projekt  współfinansowany ze środków Unii Europejskiej</w:t>
    </w:r>
  </w:p>
  <w:p w:rsidR="00AE199A" w:rsidRPr="00534F34" w:rsidRDefault="00AE199A" w:rsidP="00945B9E">
    <w:pPr>
      <w:pStyle w:val="Stopka"/>
      <w:spacing w:before="0" w:after="0" w:line="240" w:lineRule="auto"/>
      <w:rPr>
        <w:i/>
        <w:sz w:val="18"/>
        <w:szCs w:val="18"/>
      </w:rPr>
    </w:pPr>
    <w:r w:rsidRPr="00534F34">
      <w:rPr>
        <w:i/>
        <w:sz w:val="18"/>
        <w:szCs w:val="18"/>
      </w:rPr>
      <w:t>w ramach Europejskiego Funduszu Społecznego</w:t>
    </w:r>
  </w:p>
  <w:p w:rsidR="00AE199A" w:rsidRPr="0065227F" w:rsidRDefault="00AE199A" w:rsidP="00945B9E">
    <w:pPr>
      <w:pStyle w:val="Stopka"/>
      <w:tabs>
        <w:tab w:val="clear" w:pos="4536"/>
        <w:tab w:val="clear" w:pos="9072"/>
      </w:tabs>
      <w:spacing w:before="0" w:after="0"/>
    </w:pPr>
  </w:p>
  <w:p w:rsidR="00AE199A" w:rsidRPr="0065227F" w:rsidRDefault="00AE199A" w:rsidP="00945B9E">
    <w:pPr>
      <w:pStyle w:val="Stopka"/>
      <w:tabs>
        <w:tab w:val="clear" w:pos="4536"/>
        <w:tab w:val="clear" w:pos="9072"/>
      </w:tabs>
      <w:spacing w:before="0" w:after="0"/>
    </w:pPr>
    <w:r w:rsidRPr="0065227F">
      <w:t xml:space="preserve">Strona </w:t>
    </w:r>
    <w:r w:rsidR="00A44F1A" w:rsidRPr="00B4087A">
      <w:rPr>
        <w:b/>
        <w:lang w:val="en-US"/>
      </w:rPr>
      <w:fldChar w:fldCharType="begin"/>
    </w:r>
    <w:r w:rsidRPr="0065227F">
      <w:rPr>
        <w:b/>
      </w:rPr>
      <w:instrText>PAGE  \* Arabic  \* MERGEFORMAT</w:instrText>
    </w:r>
    <w:r w:rsidR="00A44F1A" w:rsidRPr="00B4087A">
      <w:rPr>
        <w:b/>
        <w:lang w:val="en-US"/>
      </w:rPr>
      <w:fldChar w:fldCharType="separate"/>
    </w:r>
    <w:r w:rsidR="00F22A15">
      <w:rPr>
        <w:b/>
        <w:noProof/>
      </w:rPr>
      <w:t>1</w:t>
    </w:r>
    <w:r w:rsidR="00A44F1A" w:rsidRPr="00B4087A">
      <w:rPr>
        <w:b/>
        <w:lang w:val="en-US"/>
      </w:rPr>
      <w:fldChar w:fldCharType="end"/>
    </w:r>
    <w:r w:rsidRPr="0065227F">
      <w:t xml:space="preserve"> z </w:t>
    </w:r>
    <w:fldSimple w:instr="NUMPAGES  \* Arabic  \* MERGEFORMAT">
      <w:r w:rsidR="00F22A15" w:rsidRPr="00F22A15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9A" w:rsidRDefault="00AE199A" w:rsidP="009C4071">
      <w:pPr>
        <w:spacing w:before="0" w:after="0" w:line="240" w:lineRule="auto"/>
      </w:pPr>
      <w:r>
        <w:separator/>
      </w:r>
    </w:p>
  </w:footnote>
  <w:footnote w:type="continuationSeparator" w:id="0">
    <w:p w:rsidR="00AE199A" w:rsidRDefault="00AE199A" w:rsidP="009C40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9A" w:rsidRDefault="00AE199A">
    <w:pPr>
      <w:pStyle w:val="Nagwek"/>
    </w:pPr>
  </w:p>
  <w:tbl>
    <w:tblPr>
      <w:tblW w:w="9427" w:type="dxa"/>
      <w:tblLook w:val="01E0"/>
    </w:tblPr>
    <w:tblGrid>
      <w:gridCol w:w="3333"/>
      <w:gridCol w:w="2330"/>
      <w:gridCol w:w="3764"/>
    </w:tblGrid>
    <w:tr w:rsidR="00AE199A" w:rsidRPr="003E6F43" w:rsidTr="009445F5">
      <w:trPr>
        <w:trHeight w:val="1138"/>
      </w:trPr>
      <w:tc>
        <w:tcPr>
          <w:tcW w:w="3333" w:type="dxa"/>
        </w:tcPr>
        <w:p w:rsidR="00AE199A" w:rsidRPr="003E6F43" w:rsidRDefault="00AE199A" w:rsidP="009445F5">
          <w:r>
            <w:rPr>
              <w:noProof/>
            </w:rPr>
            <w:drawing>
              <wp:inline distT="0" distB="0" distL="0" distR="0">
                <wp:extent cx="1598295" cy="779145"/>
                <wp:effectExtent l="19050" t="0" r="1905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</w:tcPr>
        <w:p w:rsidR="00AE199A" w:rsidRPr="003E6F43" w:rsidRDefault="00AE199A" w:rsidP="009445F5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381635" cy="588645"/>
                <wp:effectExtent l="1905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</w:tcPr>
        <w:p w:rsidR="00AE199A" w:rsidRPr="003E6F43" w:rsidRDefault="00AE199A" w:rsidP="009445F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693545" cy="636270"/>
                <wp:effectExtent l="19050" t="0" r="1905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199A" w:rsidRDefault="00AE19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F86"/>
    <w:multiLevelType w:val="hybridMultilevel"/>
    <w:tmpl w:val="1E08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02BF"/>
    <w:multiLevelType w:val="hybridMultilevel"/>
    <w:tmpl w:val="75745628"/>
    <w:lvl w:ilvl="0" w:tplc="B4EEC3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61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752D52"/>
    <w:multiLevelType w:val="hybridMultilevel"/>
    <w:tmpl w:val="5126B964"/>
    <w:lvl w:ilvl="0" w:tplc="51F44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23E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202EE"/>
    <w:rsid w:val="000203F3"/>
    <w:rsid w:val="0007617E"/>
    <w:rsid w:val="000F72DC"/>
    <w:rsid w:val="00154900"/>
    <w:rsid w:val="0024231C"/>
    <w:rsid w:val="0027192D"/>
    <w:rsid w:val="002B45B5"/>
    <w:rsid w:val="002B6D4D"/>
    <w:rsid w:val="002F5D07"/>
    <w:rsid w:val="00314966"/>
    <w:rsid w:val="00386E7B"/>
    <w:rsid w:val="003E6BEC"/>
    <w:rsid w:val="00565719"/>
    <w:rsid w:val="005974B1"/>
    <w:rsid w:val="005C72BA"/>
    <w:rsid w:val="0065227F"/>
    <w:rsid w:val="00731DCE"/>
    <w:rsid w:val="007330FE"/>
    <w:rsid w:val="007477CE"/>
    <w:rsid w:val="0075177F"/>
    <w:rsid w:val="007C67D2"/>
    <w:rsid w:val="008711EF"/>
    <w:rsid w:val="008E230B"/>
    <w:rsid w:val="009445F5"/>
    <w:rsid w:val="00945B9E"/>
    <w:rsid w:val="00963ADB"/>
    <w:rsid w:val="009C4071"/>
    <w:rsid w:val="00A44F1A"/>
    <w:rsid w:val="00AA5350"/>
    <w:rsid w:val="00AE199A"/>
    <w:rsid w:val="00B11CB4"/>
    <w:rsid w:val="00B52335"/>
    <w:rsid w:val="00BE785C"/>
    <w:rsid w:val="00BF3E6D"/>
    <w:rsid w:val="00C43099"/>
    <w:rsid w:val="00C67649"/>
    <w:rsid w:val="00CF68C0"/>
    <w:rsid w:val="00D70531"/>
    <w:rsid w:val="00DE1CE4"/>
    <w:rsid w:val="00E1279A"/>
    <w:rsid w:val="00E53969"/>
    <w:rsid w:val="00E6602B"/>
    <w:rsid w:val="00E833B2"/>
    <w:rsid w:val="00ED55FB"/>
    <w:rsid w:val="00F202EE"/>
    <w:rsid w:val="00F22A15"/>
    <w:rsid w:val="00F776DC"/>
    <w:rsid w:val="00FC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EE"/>
    <w:pPr>
      <w:suppressAutoHyphens/>
      <w:spacing w:before="120" w:after="120" w:line="312" w:lineRule="auto"/>
      <w:jc w:val="both"/>
    </w:pPr>
    <w:rPr>
      <w:rFonts w:ascii="Arial" w:eastAsia="Lucida Sans Unicode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F202EE"/>
    <w:pPr>
      <w:numPr>
        <w:ilvl w:val="1"/>
      </w:numPr>
      <w:pBdr>
        <w:top w:val="single" w:sz="4" w:space="1" w:color="FFFFFF"/>
        <w:left w:val="single" w:sz="4" w:space="4" w:color="FFFFFF"/>
        <w:bottom w:val="single" w:sz="4" w:space="4" w:color="D9D9D9"/>
        <w:right w:val="single" w:sz="4" w:space="4" w:color="FFFFFF"/>
      </w:pBdr>
      <w:shd w:val="clear" w:color="auto" w:fill="F2F2F2"/>
      <w:tabs>
        <w:tab w:val="right" w:pos="9639"/>
      </w:tabs>
      <w:spacing w:before="360" w:after="240" w:line="240" w:lineRule="auto"/>
      <w:outlineLvl w:val="1"/>
    </w:pPr>
    <w:rPr>
      <w:rFonts w:ascii="Century Gothic" w:eastAsia="Arial Unicode MS" w:hAnsi="Century Gothic" w:cs="Times New Roman"/>
      <w:b w:val="0"/>
      <w:bCs w:val="0"/>
      <w:color w:val="595959"/>
      <w:kern w:val="1"/>
      <w:sz w:val="3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02EE"/>
    <w:rPr>
      <w:rFonts w:ascii="Century Gothic" w:eastAsia="Arial Unicode MS" w:hAnsi="Century Gothic" w:cs="Times New Roman"/>
      <w:color w:val="595959"/>
      <w:kern w:val="1"/>
      <w:sz w:val="36"/>
      <w:szCs w:val="26"/>
      <w:shd w:val="clear" w:color="auto" w:fill="F2F2F2"/>
      <w:lang w:eastAsia="ar-SA"/>
    </w:rPr>
  </w:style>
  <w:style w:type="paragraph" w:styleId="Stopka">
    <w:name w:val="footer"/>
    <w:link w:val="StopkaZnak"/>
    <w:uiPriority w:val="99"/>
    <w:rsid w:val="00F202EE"/>
    <w:pPr>
      <w:widowControl w:val="0"/>
      <w:suppressLineNumbers/>
      <w:tabs>
        <w:tab w:val="center" w:pos="4536"/>
        <w:tab w:val="right" w:pos="9072"/>
      </w:tabs>
      <w:suppressAutoHyphens/>
      <w:spacing w:before="240" w:after="120" w:line="100" w:lineRule="atLeast"/>
      <w:jc w:val="center"/>
    </w:pPr>
    <w:rPr>
      <w:rFonts w:ascii="Arial" w:eastAsia="Arial Unicode MS" w:hAnsi="Arial" w:cs="font285"/>
      <w:color w:val="A6A6A6"/>
      <w:kern w:val="16"/>
      <w:sz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202EE"/>
    <w:rPr>
      <w:rFonts w:ascii="Arial" w:eastAsia="Arial Unicode MS" w:hAnsi="Arial" w:cs="font285"/>
      <w:color w:val="A6A6A6"/>
      <w:kern w:val="16"/>
      <w:sz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20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B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B9E"/>
    <w:rPr>
      <w:rFonts w:ascii="Arial" w:eastAsia="Lucida Sans Unicode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9E"/>
    <w:rPr>
      <w:rFonts w:ascii="Tahoma" w:eastAsia="Lucida Sans Unicode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spanas</cp:lastModifiedBy>
  <cp:revision>18</cp:revision>
  <cp:lastPrinted>2014-08-19T09:49:00Z</cp:lastPrinted>
  <dcterms:created xsi:type="dcterms:W3CDTF">2014-05-19T07:15:00Z</dcterms:created>
  <dcterms:modified xsi:type="dcterms:W3CDTF">2014-08-19T09:49:00Z</dcterms:modified>
</cp:coreProperties>
</file>