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B0" w:rsidRPr="00857B48" w:rsidRDefault="006162CC" w:rsidP="00857B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 w:rsidRPr="00857B48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 – Szczegółowy opis przedmiotu zamówienia</w:t>
      </w:r>
    </w:p>
    <w:p w:rsidR="002724B0" w:rsidRDefault="002724B0" w:rsidP="00857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243" w:rsidRPr="00095243" w:rsidRDefault="00095243" w:rsidP="00095243">
      <w:pPr>
        <w:pStyle w:val="Tekstpodstawowy"/>
        <w:numPr>
          <w:ilvl w:val="0"/>
          <w:numId w:val="9"/>
        </w:numPr>
        <w:tabs>
          <w:tab w:val="clear" w:pos="738"/>
          <w:tab w:val="num" w:pos="567"/>
          <w:tab w:val="right" w:pos="9356"/>
        </w:tabs>
        <w:spacing w:before="0" w:line="360" w:lineRule="auto"/>
        <w:ind w:left="567" w:right="-2" w:hanging="567"/>
        <w:rPr>
          <w:color w:val="auto"/>
          <w:w w:val="100"/>
        </w:rPr>
      </w:pPr>
      <w:r w:rsidRPr="00095243">
        <w:rPr>
          <w:bCs/>
          <w:color w:val="auto"/>
          <w:w w:val="100"/>
        </w:rPr>
        <w:t>Przedmiotem zamówienia jest</w:t>
      </w:r>
      <w:r w:rsidRPr="00095243">
        <w:rPr>
          <w:color w:val="auto"/>
          <w:w w:val="100"/>
        </w:rPr>
        <w:t xml:space="preserve"> świadczenie usługi całodobowej ochrony osób i mienia na terenie części nieruchomości położonej w Warszawie przy al. J. Ch. Szucha 2/4, pozostającej w trwałym zarządzie Zamawiającego. Obiekt jest budynkiem mieszkalno-biurowym w zabudowie zwartej. Budynek biurowy przylega z</w:t>
      </w:r>
      <w:r w:rsidR="00E10B7B">
        <w:rPr>
          <w:color w:val="auto"/>
          <w:w w:val="100"/>
        </w:rPr>
        <w:t xml:space="preserve"> </w:t>
      </w:r>
      <w:r w:rsidRPr="00095243">
        <w:rPr>
          <w:color w:val="auto"/>
          <w:w w:val="100"/>
        </w:rPr>
        <w:t>dwóch stron do</w:t>
      </w:r>
      <w:r w:rsidR="00E10B7B">
        <w:rPr>
          <w:color w:val="auto"/>
          <w:w w:val="100"/>
        </w:rPr>
        <w:t> </w:t>
      </w:r>
      <w:r w:rsidRPr="00095243">
        <w:rPr>
          <w:color w:val="auto"/>
          <w:w w:val="100"/>
        </w:rPr>
        <w:t>budynków sąsiednich (mieszkalnych). Układ budynku jest podłużny, korytarzowy, z jednym skrzydłem i ryzalitem podwórzowym. Budynek posiada osiem kondygnacji nadziemnych i jedną podziemną. W budynku biurowym są trzy klatki schodowe – oznaczone jako B, C i D i dwie windy oraz dwie klatki schodowe A i E – służące do wejścia do pomieszczeń biurowych w częściach mieszkalnych. W pomieszczeniach biurowych (w budynku biurowym jak i w częściach mieszkalnych) stale przebywa około 190 osób. Stałej ochronie podlegają pomieszczenia biurowe, dwa pomieszczenia garażowe usytuowane wewnątrz dziedzińca, brama wjazdowa oraz lokale biurowe nr</w:t>
      </w:r>
      <w:r w:rsidR="0057550C">
        <w:rPr>
          <w:color w:val="auto"/>
          <w:w w:val="100"/>
        </w:rPr>
        <w:t> </w:t>
      </w:r>
      <w:r w:rsidRPr="00095243">
        <w:rPr>
          <w:color w:val="auto"/>
          <w:w w:val="100"/>
        </w:rPr>
        <w:t>26, 31, 33, 36, 48 i 73 znajdujące się w częściach mieszkalnych sąsiednich budynków, jak również 5 miejsc parkingowych usytuowanych na wprost głównego wejścia głównego do budynku od strony al. J. Ch. Szucha 2/4.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Ochrona pełniona jest przez wszystkie dni tygodnia, całodobowo, przez dwóch pracowników Wykonawcy. Stałym miejscem dyżuru jest pomieszczenie w holu głównym na parterze siedziby Zamawiającego, tzw. Portiernia.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Zamawiający zapewnia pracownikom Wykonawcy dostęp do pomieszczenia socjalnego w miejscu wykonywania zamówienia oraz możliwość korzystania ze stacjonarnej linii telefonicznej w celach związanych z wykonywaniem zamówienia.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 zakresie wymagań ogólnych, pracownicy Wykonawcy ochraniający siedzibę Zamawiającego powinni:</w:t>
      </w:r>
    </w:p>
    <w:p w:rsidR="00095243" w:rsidRPr="00095243" w:rsidRDefault="00095243" w:rsidP="005755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5243">
        <w:rPr>
          <w:rFonts w:ascii="Times New Roman" w:hAnsi="Times New Roman"/>
          <w:iCs/>
          <w:sz w:val="24"/>
          <w:szCs w:val="24"/>
        </w:rPr>
        <w:t>nosić jednolite umundurowanie, tj. marynarka i spodnie w jednolitym ciemnym kolorze, koszula i krawat oraz stosowne buty do całości ubioru z przypiętym do</w:t>
      </w:r>
      <w:r w:rsidR="00E10B7B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095243">
        <w:rPr>
          <w:rFonts w:ascii="Times New Roman" w:hAnsi="Times New Roman"/>
          <w:iCs/>
          <w:sz w:val="24"/>
          <w:szCs w:val="24"/>
        </w:rPr>
        <w:t>munduru lub koszuli identyfikatorem imiennym ze zdjęciem pracownika oraz</w:t>
      </w:r>
      <w:r w:rsidR="00E10B7B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095243">
        <w:rPr>
          <w:rFonts w:ascii="Times New Roman" w:hAnsi="Times New Roman"/>
          <w:iCs/>
          <w:sz w:val="24"/>
          <w:szCs w:val="24"/>
        </w:rPr>
        <w:t>nazwą firmy Wykonawcy;</w:t>
      </w:r>
    </w:p>
    <w:p w:rsidR="00095243" w:rsidRPr="00095243" w:rsidRDefault="00095243" w:rsidP="005755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 w:rsidRPr="00095243">
        <w:rPr>
          <w:rFonts w:ascii="Times New Roman" w:hAnsi="Times New Roman"/>
          <w:iCs/>
          <w:sz w:val="24"/>
          <w:szCs w:val="24"/>
        </w:rPr>
        <w:t xml:space="preserve">być </w:t>
      </w:r>
      <w:r w:rsidRPr="00095243">
        <w:rPr>
          <w:rFonts w:ascii="Times New Roman" w:hAnsi="Times New Roman"/>
          <w:sz w:val="24"/>
          <w:szCs w:val="24"/>
        </w:rPr>
        <w:t>wpisani na listę kwalifikowanych pracowników ochrony zgodnie z ustawą z</w:t>
      </w:r>
      <w:r w:rsidR="00E339BF">
        <w:rPr>
          <w:rFonts w:ascii="Times New Roman" w:hAnsi="Times New Roman"/>
          <w:sz w:val="24"/>
          <w:szCs w:val="24"/>
          <w:lang w:val="pl-PL"/>
        </w:rPr>
        <w:t> </w:t>
      </w:r>
      <w:r w:rsidRPr="00095243">
        <w:rPr>
          <w:rFonts w:ascii="Times New Roman" w:hAnsi="Times New Roman"/>
          <w:sz w:val="24"/>
          <w:szCs w:val="24"/>
        </w:rPr>
        <w:t>dnia 22 sierpnia 1997 r. o ochronie osób i mienia</w:t>
      </w:r>
      <w:r w:rsidRPr="00095243">
        <w:rPr>
          <w:rFonts w:ascii="Times New Roman" w:hAnsi="Times New Roman"/>
          <w:iCs/>
          <w:sz w:val="24"/>
          <w:szCs w:val="24"/>
        </w:rPr>
        <w:t xml:space="preserve"> </w:t>
      </w:r>
      <w:r w:rsidRPr="00095243">
        <w:rPr>
          <w:rFonts w:ascii="Times New Roman" w:hAnsi="Times New Roman"/>
          <w:sz w:val="24"/>
          <w:szCs w:val="24"/>
        </w:rPr>
        <w:t xml:space="preserve">lub 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>uznano ich kwalifikacje do</w:t>
      </w:r>
      <w:r w:rsidR="00E10B7B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> 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>wykonywania zawodu pracownika ochrony fizycznej na podstawie ustawy z</w:t>
      </w:r>
      <w:r w:rsidR="00E10B7B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> 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dnia </w:t>
      </w:r>
      <w:r w:rsidR="00E10B7B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>22 grudnia 2015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r. o zasadach uznawania kwalifikacji zawodowych nabytych 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w</w:t>
      </w:r>
      <w:r w:rsidR="00E10B7B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państwach członkowskich Unii Europejskiej (Dz. U. </w:t>
      </w:r>
      <w:r w:rsidR="00E10B7B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>z 2016 r.,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poz.</w:t>
      </w:r>
      <w:r w:rsidR="00E10B7B">
        <w:rPr>
          <w:rFonts w:ascii="Times New Roman" w:hAnsi="Times New Roman"/>
          <w:sz w:val="24"/>
          <w:szCs w:val="24"/>
          <w:bdr w:val="none" w:sz="0" w:space="0" w:color="auto" w:frame="1"/>
          <w:lang w:val="pl-PL"/>
        </w:rPr>
        <w:t> 65</w:t>
      </w:r>
      <w:r w:rsidRPr="00095243">
        <w:rPr>
          <w:rFonts w:ascii="Times New Roman" w:hAnsi="Times New Roman"/>
          <w:sz w:val="24"/>
          <w:szCs w:val="24"/>
          <w:bdr w:val="none" w:sz="0" w:space="0" w:color="auto" w:frame="1"/>
        </w:rPr>
        <w:t>);</w:t>
      </w:r>
    </w:p>
    <w:p w:rsidR="00095243" w:rsidRPr="00095243" w:rsidRDefault="00095243" w:rsidP="005755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 w:rsidRPr="00095243">
        <w:rPr>
          <w:rFonts w:ascii="Times New Roman" w:hAnsi="Times New Roman"/>
          <w:iCs/>
          <w:sz w:val="24"/>
          <w:szCs w:val="24"/>
        </w:rPr>
        <w:t>dysponować adekwatnymi do warunków lokalnych Zamawiającego środkami przymusu bezpośredniego, zgodnie z</w:t>
      </w:r>
      <w:r w:rsidRPr="00095243">
        <w:rPr>
          <w:rFonts w:ascii="Times New Roman" w:hAnsi="Times New Roman"/>
          <w:sz w:val="24"/>
          <w:szCs w:val="24"/>
        </w:rPr>
        <w:t xml:space="preserve"> ustawą o ochronie osób i mienia</w:t>
      </w:r>
      <w:r w:rsidRPr="00095243">
        <w:rPr>
          <w:rFonts w:ascii="Times New Roman" w:hAnsi="Times New Roman"/>
          <w:iCs/>
          <w:sz w:val="24"/>
          <w:szCs w:val="24"/>
        </w:rPr>
        <w:t>;</w:t>
      </w:r>
    </w:p>
    <w:p w:rsidR="00095243" w:rsidRPr="00095243" w:rsidRDefault="00095243" w:rsidP="005755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 w:rsidRPr="00095243">
        <w:rPr>
          <w:rFonts w:ascii="Times New Roman" w:hAnsi="Times New Roman"/>
          <w:iCs/>
          <w:sz w:val="24"/>
          <w:szCs w:val="24"/>
        </w:rPr>
        <w:t>dysponować bezprzewodowymi środkami łączności;</w:t>
      </w:r>
    </w:p>
    <w:p w:rsidR="00095243" w:rsidRPr="00095243" w:rsidRDefault="00095243" w:rsidP="005755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iCs/>
          <w:sz w:val="24"/>
          <w:szCs w:val="24"/>
        </w:rPr>
      </w:pPr>
      <w:r w:rsidRPr="00095243">
        <w:rPr>
          <w:rFonts w:ascii="Times New Roman" w:hAnsi="Times New Roman"/>
          <w:iCs/>
          <w:sz w:val="24"/>
          <w:szCs w:val="24"/>
        </w:rPr>
        <w:t>posiadać zaświadczenie o przeszkoleniu w zakresie udzielania pierwszej pomocy przedmedycznej np. BLS + AED, czyli podstawowe zabiegi resuscytacyjne i</w:t>
      </w:r>
      <w:r w:rsidR="00E339BF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095243">
        <w:rPr>
          <w:rFonts w:ascii="Times New Roman" w:hAnsi="Times New Roman"/>
          <w:iCs/>
          <w:sz w:val="24"/>
          <w:szCs w:val="24"/>
        </w:rPr>
        <w:t>automatyczna defibrylacja zewnętrzna.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 celu dokumentowania przebiegu służby, pracownicy Wykonawcy zobowiązani są do bieżącego prowadzenia „Książki/Dziennika Służby”, zawierającego:</w:t>
      </w:r>
    </w:p>
    <w:p w:rsidR="00095243" w:rsidRPr="00095243" w:rsidRDefault="00095243" w:rsidP="00095243">
      <w:pPr>
        <w:numPr>
          <w:ilvl w:val="0"/>
          <w:numId w:val="1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datę i godzinę rozpoczęcia i zakończenia służby;</w:t>
      </w:r>
    </w:p>
    <w:p w:rsidR="00095243" w:rsidRPr="00095243" w:rsidRDefault="00095243" w:rsidP="00095243">
      <w:pPr>
        <w:numPr>
          <w:ilvl w:val="0"/>
          <w:numId w:val="1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nazwiska pracowników Wykonawcy;</w:t>
      </w:r>
    </w:p>
    <w:p w:rsidR="00095243" w:rsidRPr="00095243" w:rsidRDefault="00095243" w:rsidP="00095243">
      <w:pPr>
        <w:numPr>
          <w:ilvl w:val="0"/>
          <w:numId w:val="1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uwagi pracowników Wykonawcy o zdarzeniach zao</w:t>
      </w:r>
      <w:r w:rsidR="00241601">
        <w:rPr>
          <w:rFonts w:ascii="Times New Roman" w:hAnsi="Times New Roman" w:cs="Times New Roman"/>
          <w:iCs/>
          <w:sz w:val="24"/>
          <w:szCs w:val="24"/>
        </w:rPr>
        <w:t xml:space="preserve">bserwowanych w czasie służby (z </w:t>
      </w:r>
      <w:bookmarkStart w:id="0" w:name="_GoBack"/>
      <w:bookmarkEnd w:id="0"/>
      <w:r w:rsidRPr="00095243">
        <w:rPr>
          <w:rFonts w:ascii="Times New Roman" w:hAnsi="Times New Roman" w:cs="Times New Roman"/>
          <w:iCs/>
          <w:sz w:val="24"/>
          <w:szCs w:val="24"/>
        </w:rPr>
        <w:t>wyłączeniem obecności usługodawców, dostawców i stałych konserwatorów instalacji i urządzeń Zamawiającego);</w:t>
      </w:r>
    </w:p>
    <w:p w:rsidR="00095243" w:rsidRPr="00095243" w:rsidRDefault="00095243" w:rsidP="00095243">
      <w:pPr>
        <w:numPr>
          <w:ilvl w:val="0"/>
          <w:numId w:val="1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uwagi osób upoważnionych do kontrolowania pracowników Wykonawcy;</w:t>
      </w:r>
    </w:p>
    <w:p w:rsidR="00095243" w:rsidRPr="00095243" w:rsidRDefault="00095243" w:rsidP="00095243">
      <w:pPr>
        <w:numPr>
          <w:ilvl w:val="0"/>
          <w:numId w:val="1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podpisy pracowników Wykonawcy pod naniesionymi uwagami w „Książce/ Dzienniku Służby”;</w:t>
      </w:r>
    </w:p>
    <w:p w:rsidR="00095243" w:rsidRPr="00095243" w:rsidRDefault="00095243" w:rsidP="00095243">
      <w:pPr>
        <w:numPr>
          <w:ilvl w:val="0"/>
          <w:numId w:val="1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zaleceń administratora siedziby Zamawiającego.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Pracownicy Wykonawcy zobowiązani są do bieżącego prowadzenia dokumentacji ewidencyjnej, według wzoru przekazanego przez Zamawiającego, dotyczącej:</w:t>
      </w:r>
    </w:p>
    <w:p w:rsidR="00095243" w:rsidRPr="00095243" w:rsidRDefault="00095243" w:rsidP="00095243">
      <w:pPr>
        <w:numPr>
          <w:ilvl w:val="0"/>
          <w:numId w:val="1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pobierania i zdawania kluczy do pomieszczeń objętych szczególną ochroną;</w:t>
      </w:r>
    </w:p>
    <w:p w:rsidR="00095243" w:rsidRPr="00095243" w:rsidRDefault="00095243" w:rsidP="00095243">
      <w:pPr>
        <w:numPr>
          <w:ilvl w:val="0"/>
          <w:numId w:val="1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pobierania i zdawania przez pracowników Zamawiającego kluczy do pomieszczeń biurowych;</w:t>
      </w:r>
    </w:p>
    <w:p w:rsidR="00095243" w:rsidRPr="00095243" w:rsidRDefault="00095243" w:rsidP="00095243">
      <w:pPr>
        <w:numPr>
          <w:ilvl w:val="0"/>
          <w:numId w:val="1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wejść i wyjść oraz pobierania i zdawania przez pracowników firmy sprzątającej kluczy do pomieszczeń w siedzibie Zamawiającego;</w:t>
      </w:r>
    </w:p>
    <w:p w:rsidR="00095243" w:rsidRPr="00095243" w:rsidRDefault="00095243" w:rsidP="00095243">
      <w:pPr>
        <w:numPr>
          <w:ilvl w:val="0"/>
          <w:numId w:val="1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pobierania i zdawania przepustek tymczasowych oraz plakietek przeznaczonych dla interesantów Zamawiającego;</w:t>
      </w:r>
    </w:p>
    <w:p w:rsidR="00095243" w:rsidRPr="00095243" w:rsidRDefault="00095243" w:rsidP="00095243">
      <w:pPr>
        <w:numPr>
          <w:ilvl w:val="0"/>
          <w:numId w:val="1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wejść i wyjść z/do budynku osób niebędących pracownikami Zamawiającego (dotyczy również usługodawców, dostawców i stałych konserwatorów instalacji i</w:t>
      </w:r>
      <w:r w:rsidR="00E339BF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urządzeń Zamawiającego); </w:t>
      </w:r>
    </w:p>
    <w:p w:rsidR="00095243" w:rsidRPr="00095243" w:rsidRDefault="00095243" w:rsidP="00095243">
      <w:pPr>
        <w:numPr>
          <w:ilvl w:val="0"/>
          <w:numId w:val="1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 xml:space="preserve">numerów rejestracyjnych pojazdów wykonawców i dostawców zewnętrznych, wjeżdżających czasowo na wewnętrzny dziedziniec, za zgodą Zamawiającego. 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lastRenderedPageBreak/>
        <w:t>Pracownicy Wykonawcy zobowiązani są do umiejętnego posługiwania się środkami technicznymi, zamontowanymi w siedzibie Zamawiającego w celu podniesienia poziomu ochrony. Są to następujące urządzenia:</w:t>
      </w:r>
    </w:p>
    <w:p w:rsidR="00095243" w:rsidRPr="00095243" w:rsidRDefault="00095243" w:rsidP="0009524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zlokalizowany w holu głównym elektroniczno-mechaniczny system kontroli dostępu „KD”, wyposażony w bramki, barierki i czytniki kart zbliżeniowych oraz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system reagowania na sygnał alarmu pożarowego, z kontrolą w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iCs/>
          <w:sz w:val="24"/>
          <w:szCs w:val="24"/>
        </w:rPr>
        <w:t>Portierni opadania bramek i barierek;</w:t>
      </w:r>
    </w:p>
    <w:p w:rsidR="00095243" w:rsidRPr="00095243" w:rsidRDefault="00095243" w:rsidP="0009524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zewnętrzny i wewnętrzny system monitoringu wizyjnego, którego monitory usytuowane są w Portierni;</w:t>
      </w:r>
    </w:p>
    <w:p w:rsidR="00095243" w:rsidRPr="00095243" w:rsidRDefault="00095243" w:rsidP="00095243">
      <w:pPr>
        <w:numPr>
          <w:ilvl w:val="0"/>
          <w:numId w:val="13"/>
        </w:numPr>
        <w:tabs>
          <w:tab w:val="left" w:pos="360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alarmy antywłamaniowe, zamontowane w budynku biurowym oraz w lokalach biurowych nr 26, 31, 33, 36, 48A i 73 usytuowanych w częściach mieszkalnych na terenie siedziby Zamawiającego, których sygnalizacja znajduje się na Portierni;</w:t>
      </w:r>
    </w:p>
    <w:p w:rsidR="00095243" w:rsidRPr="00095243" w:rsidRDefault="00095243" w:rsidP="00095243">
      <w:pPr>
        <w:numPr>
          <w:ilvl w:val="0"/>
          <w:numId w:val="13"/>
        </w:numPr>
        <w:tabs>
          <w:tab w:val="left" w:pos="360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system sygnalizacji alarmu pożarowego „SAP” połączony z zewnętrzną stacją monitorującą sygnał alarmowy i przekazującą go do Państwowej Straży Pożarnej, z centralą i sygnalizacją alarmową zamontowanymi na Portierni;</w:t>
      </w:r>
    </w:p>
    <w:p w:rsidR="00095243" w:rsidRPr="00095243" w:rsidRDefault="00095243" w:rsidP="00095243">
      <w:pPr>
        <w:numPr>
          <w:ilvl w:val="0"/>
          <w:numId w:val="13"/>
        </w:numPr>
        <w:tabs>
          <w:tab w:val="left" w:pos="360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stałe urządzenia gaśnicze gazowe „SUG” w pomieszczeniach dwóch serwerowni, uzupełnione czujnikami termicznymi i zalania, z sygnalizacją alarmową na</w:t>
      </w:r>
      <w:r w:rsidR="00E339BF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Portierni;</w:t>
      </w:r>
    </w:p>
    <w:p w:rsidR="00095243" w:rsidRPr="00095243" w:rsidRDefault="00095243" w:rsidP="00095243">
      <w:pPr>
        <w:numPr>
          <w:ilvl w:val="0"/>
          <w:numId w:val="13"/>
        </w:numPr>
        <w:tabs>
          <w:tab w:val="left" w:pos="360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specjalistyczne wyposażenie kontroli dostępu do strefy bezpieczeństwa Kancelarii Tajnej oraz do pomieszczenia Kancelarii Tajnej, z odrębną sygnalizacją alarmową na Portierni.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Ochrona siedziby Zamawiającego, wraz z terenem bezpośrednio przyległym, polega na nadzorowaniu i ochronie ruchu osobowego, ochronie mienia Zamawiającego i nadzorowaniu jego przemieszczania do/z siedziby Zamawiającego, a także na zapobieganiu zagrożeniom związanymi z pożarem, BHP, awariami technicznymi, włamaniami oraz prawidłowym reagowaniu w wypadku ich wystąpienia. Szczególnie monitorowane są strefy pomieszczeń, o których mowa w ust. 9 B pkt. 3 i 4. W ramach ochrony pracownicy Wykonawcy zobowiązani są do przestrzegania oraz kontroli przestrzegania przepisów porządkowych, przepisów BHP i PPOŻ obowiązujących u Zamawiającego.</w:t>
      </w:r>
    </w:p>
    <w:p w:rsidR="00095243" w:rsidRPr="00095243" w:rsidRDefault="00095243" w:rsidP="00095243">
      <w:pPr>
        <w:numPr>
          <w:ilvl w:val="0"/>
          <w:numId w:val="9"/>
        </w:numPr>
        <w:tabs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Ochrona osób i ruchu osobowego, ochrona mienia i reagowanie kryzysowe:</w:t>
      </w:r>
    </w:p>
    <w:p w:rsidR="00095243" w:rsidRPr="00095243" w:rsidRDefault="0057550C" w:rsidP="0057550C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 A.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95243" w:rsidRPr="00095243">
        <w:rPr>
          <w:rFonts w:ascii="Times New Roman" w:hAnsi="Times New Roman" w:cs="Times New Roman"/>
          <w:b/>
          <w:iCs/>
          <w:sz w:val="24"/>
          <w:szCs w:val="24"/>
        </w:rPr>
        <w:t xml:space="preserve">Ochrona osób i ruchu osobowego </w:t>
      </w:r>
    </w:p>
    <w:p w:rsidR="00095243" w:rsidRPr="00095243" w:rsidRDefault="00095243" w:rsidP="0009524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 xml:space="preserve">Podstawowymi dokumentami uprawniającymi do wejścia, wyjścia i przebywania w siedzibie Zamawiającego, są wydawane przez Zamawiającego karty zbliżeniowe/identyfikatory – stałe </w:t>
      </w:r>
      <w:r w:rsidRPr="00095243">
        <w:rPr>
          <w:rFonts w:ascii="Times New Roman" w:hAnsi="Times New Roman" w:cs="Times New Roman"/>
          <w:iCs/>
          <w:sz w:val="24"/>
          <w:szCs w:val="24"/>
        </w:rPr>
        <w:lastRenderedPageBreak/>
        <w:t>i tymczasowe – oraz plakietki z napisem „Gość” przeznaczone dla interesantów Zamawiającego. Dokumentami doraźnymi są sporządzone przez Zamawiającego wykazy uczestników zajęć aplikacji legislacyjnych, komisji prawniczych oraz innych zebrań i konferencji organizowanych w siedzibie Zamawiającego.</w:t>
      </w:r>
    </w:p>
    <w:p w:rsidR="00095243" w:rsidRPr="00095243" w:rsidRDefault="00095243" w:rsidP="0009524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Do obowiązków pracowników Wykonawcy należy: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stałe monitorowanie wizyjne wejścia (wejść) na teren siedziby Zamawiającego;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utrzymywanie stale zamkniętych wewnętrznych drzwi wejściowych do holu głównego, bramek i barierek systemu „KD”, a także drzwi prowadzących z/do klatki schodowej nr</w:t>
      </w:r>
      <w:r w:rsidR="00E10B7B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„A” (wejście/wyjście za pomocą elektronicznej karty zbliżeniowej lub otwieranych zdalnie za pomocą dzwonka umieszczonego w Portierni) oraz bramy wjazdowej otwieranej za pomocą pilota, po wstępnej kontroli wizyjnej (kamera-monitor);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zapobieganie wejściu na teren siedziby Zamawiającego osób nieupoważnionych oraz</w:t>
      </w:r>
      <w:r w:rsidR="00E10B7B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osób będących pod wpływem alkoholu lub innych środków odurzających;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bezpośrednia ochrona fizyczna pracowników i interesantów Zamawiającego, w sytuacjach szczególnego zagrożenia ich życia, zdrowia i nietykalności osobistej;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udzielanie informacji interesantom Zamawiającego o położeniu i możliwości dotarcia, wraz z pracownikiem Zamawiającego, do konkretnej komórki organizacyjnej na terenie siedziby Zamawiającego oraz o sposobach komunikacji telefonicznej z poszukiwanymi pracownikami Zamawiającego;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przestrzeganie zasady, że pracownicy Zamawiającego wchodzą i wychodzą do/z budynku wyłącznie po przyłożeniu przez nich do czytnika systemu „KD” elektronicznej karty zbliżeniowej/identyfikatora osobowego; w wypadku jej braku pracownikowi Zamawiającego należy wydać – po wylegitymowaniu – tymczasową kartę zbliżeniową/identyfikator i</w:t>
      </w:r>
      <w:r w:rsidR="0057550C">
        <w:rPr>
          <w:rFonts w:ascii="Times New Roman" w:hAnsi="Times New Roman" w:cs="Times New Roman"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sz w:val="24"/>
          <w:szCs w:val="24"/>
        </w:rPr>
        <w:t>odnotować ten fakt w ewidencji;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przestrzeganie zasady, że interesanci Zamawiającego mogą być wpuszczeni na teren siedziby Zamawiającego po uzyskaniu wcześniejszej, pisemnej lub telefonicznej, dyspozycji od osoby upoważnionej (kierownik komórki organizacyjnej i jego zastępca, pracownik administrujący budynkiem, sekretarka, pracownik kancelarii ogólnej), po</w:t>
      </w:r>
      <w:r w:rsidR="00E10B7B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 xml:space="preserve">zarejestrowaniu w książce wejść i wyjść na podstawie okazanego dokumentu tożsamości i wydaniu plakietki z napisem „Gość”; interesant może być wpuszczony na teren siedziby Zamawiającego wyłącznie z osobą będącą pracownikiem Zamawiającego; wyjście interesanta należy odnotować w książce wejść i wyjść; </w:t>
      </w:r>
      <w:r w:rsidRPr="00095243">
        <w:rPr>
          <w:rFonts w:ascii="Times New Roman" w:hAnsi="Times New Roman" w:cs="Times New Roman"/>
          <w:b/>
          <w:sz w:val="24"/>
          <w:szCs w:val="24"/>
        </w:rPr>
        <w:t xml:space="preserve">Powyższe zasady nie dotyczą osób zaproszonych przez Prezesa i </w:t>
      </w:r>
      <w:r w:rsidR="00E10B7B">
        <w:rPr>
          <w:rFonts w:ascii="Times New Roman" w:hAnsi="Times New Roman" w:cs="Times New Roman"/>
          <w:b/>
          <w:sz w:val="24"/>
          <w:szCs w:val="24"/>
        </w:rPr>
        <w:t>W</w:t>
      </w:r>
      <w:r w:rsidRPr="00095243">
        <w:rPr>
          <w:rFonts w:ascii="Times New Roman" w:hAnsi="Times New Roman" w:cs="Times New Roman"/>
          <w:b/>
          <w:sz w:val="24"/>
          <w:szCs w:val="24"/>
        </w:rPr>
        <w:t>iceprezesów Rządowego Centrum Legislacji.</w:t>
      </w:r>
      <w:r w:rsidRPr="00095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lastRenderedPageBreak/>
        <w:t>przestrzeganie zasady, że w wypadku braku wcześniejszej dyspozycji, o której mowa w</w:t>
      </w:r>
      <w:r w:rsidR="00E339BF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punkcie 7, należy telefonicznie powiadomić właściwy sekretariat o wizycie, a</w:t>
      </w:r>
      <w:r w:rsidR="00E339BF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po</w:t>
      </w:r>
      <w:r w:rsidR="00E339BF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uzyskaniu dyspozycji ustnej o wpuszczeniu, po wylegitymowaniu należy zarejestrować wejście, wydać plakietkę z napisem „Gość” i oczekiwać na pracownika Zamawiającego;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odblokowywanie urządzeń systemu „KD” w celu umożliwienia wejścia do budynku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 uczestnikom zajęć aplikacji legislacyjnej, komisji prawniczych oraz innym uczestnikom zebrań i konferencji organizowanych w siedzibie Zamawiającego;</w:t>
      </w:r>
      <w:r w:rsidRPr="00095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43" w:rsidRPr="00095243" w:rsidRDefault="00095243" w:rsidP="00095243">
      <w:pPr>
        <w:numPr>
          <w:ilvl w:val="0"/>
          <w:numId w:val="14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przestrzeganie zasady, że pracownicy firmy sprzątającej obiekt mogą być wpuszczani na podstawie aktualnego wykazu imiennego, przekazanego przez Zamawiającego i stanowiącego podstawę do odblokowania w tym celu urządzeń systemu „KD”.</w:t>
      </w:r>
    </w:p>
    <w:p w:rsidR="00095243" w:rsidRPr="00095243" w:rsidRDefault="0057550C" w:rsidP="0057550C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243" w:rsidRPr="00095243">
        <w:rPr>
          <w:rFonts w:ascii="Times New Roman" w:hAnsi="Times New Roman" w:cs="Times New Roman"/>
          <w:b/>
          <w:sz w:val="24"/>
          <w:szCs w:val="24"/>
        </w:rPr>
        <w:t>Ochrona mienia</w:t>
      </w:r>
    </w:p>
    <w:p w:rsidR="00095243" w:rsidRPr="00095243" w:rsidRDefault="00095243" w:rsidP="0057550C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Mienie Zamawiającego podlega ochronie czynnej i biernej.</w:t>
      </w:r>
    </w:p>
    <w:p w:rsidR="00095243" w:rsidRPr="00095243" w:rsidRDefault="00095243" w:rsidP="0057550C">
      <w:pPr>
        <w:pStyle w:val="Tekstpodstawowy"/>
        <w:spacing w:before="0" w:line="360" w:lineRule="auto"/>
        <w:ind w:left="567"/>
        <w:rPr>
          <w:iCs/>
          <w:color w:val="auto"/>
          <w:w w:val="100"/>
          <w:lang w:val="pl-PL"/>
        </w:rPr>
      </w:pPr>
      <w:r w:rsidRPr="00095243">
        <w:rPr>
          <w:iCs/>
          <w:color w:val="auto"/>
          <w:w w:val="100"/>
        </w:rPr>
        <w:t>W ramach ochrony czynnej i biernej, do obowiązków pracowników Wykonawcy należy prowadzenie działań prewencyjnych, zapewniających bezpieczeństwo chronionej nieruchomości oraz podejmowanie interwencji przez patrol interwencyjny Wykonawcy w sytuacjach tego wymagających. Wykonawca</w:t>
      </w:r>
      <w:r w:rsidRPr="00095243">
        <w:rPr>
          <w:bCs/>
          <w:iCs/>
          <w:color w:val="auto"/>
          <w:w w:val="100"/>
        </w:rPr>
        <w:t xml:space="preserve"> </w:t>
      </w:r>
      <w:r w:rsidRPr="00095243">
        <w:rPr>
          <w:iCs/>
          <w:color w:val="auto"/>
          <w:w w:val="100"/>
          <w:lang w:val="pl-PL"/>
        </w:rPr>
        <w:t>zapewni dojazd do obiektu i podjęcie interwencji przez patrol interwencyjny w ciągu 20 min od wezwania.</w:t>
      </w:r>
    </w:p>
    <w:p w:rsidR="00095243" w:rsidRPr="00095243" w:rsidRDefault="00095243" w:rsidP="0057550C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Ochrona czynna realizowana jest poprzez patrolowanie siedziby Zamawiającego, nadzorowanie miejsc parkingowych przed siedzibą Zamawiającego, nadzorowanie ruchu materiałowego oraz reagowanie na usiłowanie włamania lub kradzieży. Do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zakresu ochrony czynnej zaliczają się również działania, o których mowa w punkcie 9 C Reagowanie kryzysowe. </w:t>
      </w:r>
    </w:p>
    <w:p w:rsidR="00095243" w:rsidRPr="00095243" w:rsidRDefault="00095243" w:rsidP="0057550C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 xml:space="preserve">Ochrona bierna polega na prowadzeniu ścisłej kontroli obrotu kluczami do pomieszczeń </w:t>
      </w:r>
      <w:r w:rsidRPr="00095243">
        <w:rPr>
          <w:rFonts w:ascii="Times New Roman" w:hAnsi="Times New Roman" w:cs="Times New Roman"/>
          <w:sz w:val="24"/>
          <w:szCs w:val="24"/>
        </w:rPr>
        <w:t xml:space="preserve">na terenie siedziby Zamawiającego, 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aktywowaniu we właściwym czasie instalacji alarmu antywłamaniowego, ciągłej obserwacji monitorów systemu monitoringu wizyjnego oraz na obserwacji zamontowanych w </w:t>
      </w:r>
      <w:r w:rsidRPr="00095243">
        <w:rPr>
          <w:rFonts w:ascii="Times New Roman" w:hAnsi="Times New Roman" w:cs="Times New Roman"/>
          <w:sz w:val="24"/>
          <w:szCs w:val="24"/>
        </w:rPr>
        <w:t>siedzibie Zamawiającego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 sygnalizacji alarmowych. Zasady przeprowadzania obchodów patrolowanych pomieszczeń w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budynku biurowym oraz lokali biurowych zlokalizowanych w części mieszkalnej stanowi załącznik do </w:t>
      </w:r>
      <w:r w:rsidRPr="00095243">
        <w:rPr>
          <w:rFonts w:ascii="Times New Roman" w:hAnsi="Times New Roman" w:cs="Times New Roman"/>
          <w:i/>
          <w:iCs/>
          <w:sz w:val="24"/>
          <w:szCs w:val="24"/>
        </w:rPr>
        <w:t>Szczegółowego opisu przedmiotu zamówienia.</w:t>
      </w:r>
    </w:p>
    <w:p w:rsidR="00095243" w:rsidRPr="00095243" w:rsidRDefault="00095243" w:rsidP="0057550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 szczególności do obowiązków pracowników Wykonawcy należy: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wydawanie upoważnionym osobom i pobieranie od nich w zamkniętych i plombowanych woreczkach kluczy do pomieszczeń podlegających szczególnej ochronie – z odnotowaniem we właściwej ewidencji;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lastRenderedPageBreak/>
        <w:t>wydawanie i pobieranie kluczy do pomieszczeń biurowych i technicznych uprawnionym pracownikom Zamawiającego – z odnotowaniem we właściwej ewidencji;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num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stałe monitorowanie, przy użyciu odrębnego systemu monitoringu wizyjnego, strefy bezpieczeństwa Kancelarii Tajnej na terenie siedziby Zamawiającego;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 xml:space="preserve">kontrolowanie skuteczności zamknięcia i plombowania pomieszczeń podlegających szczególnej ochronie </w:t>
      </w:r>
      <w:r w:rsidRPr="00095243">
        <w:rPr>
          <w:rFonts w:ascii="Times New Roman" w:hAnsi="Times New Roman" w:cs="Times New Roman"/>
          <w:sz w:val="24"/>
          <w:szCs w:val="24"/>
        </w:rPr>
        <w:t>na terenie siedziby Zamawiającego</w:t>
      </w:r>
      <w:r w:rsidRPr="00095243">
        <w:rPr>
          <w:rFonts w:ascii="Times New Roman" w:hAnsi="Times New Roman" w:cs="Times New Roman"/>
          <w:iCs/>
          <w:sz w:val="24"/>
          <w:szCs w:val="24"/>
        </w:rPr>
        <w:t>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num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 xml:space="preserve">rejestrowanie we właściwej ewidencji czasu wejścia i wyjścia pracowników firmy sprzątającej oraz pobierania przez nich i zdawania kluczy do pomieszczeń </w:t>
      </w:r>
      <w:r w:rsidRPr="00095243">
        <w:rPr>
          <w:rFonts w:ascii="Times New Roman" w:hAnsi="Times New Roman" w:cs="Times New Roman"/>
          <w:sz w:val="24"/>
          <w:szCs w:val="24"/>
        </w:rPr>
        <w:t>na terenie siedziby Zamawiającego</w:t>
      </w:r>
      <w:r w:rsidRPr="00095243">
        <w:rPr>
          <w:rFonts w:ascii="Times New Roman" w:hAnsi="Times New Roman" w:cs="Times New Roman"/>
          <w:iCs/>
          <w:sz w:val="24"/>
          <w:szCs w:val="24"/>
        </w:rPr>
        <w:t>;</w:t>
      </w:r>
    </w:p>
    <w:p w:rsidR="00095243" w:rsidRPr="00095243" w:rsidRDefault="00095243" w:rsidP="0057550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Przeprowadzanie co 6 godzin z rejestrowaniem w sposób przyjęty u Zamawiającego kontroli wszystkich pomieszczeń (wykaz punktów kontrolnych zawiera załącznik do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i/>
          <w:iCs/>
          <w:sz w:val="24"/>
          <w:szCs w:val="24"/>
        </w:rPr>
        <w:t>Szczegółowego opisu przedmiotu zamówienia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095243">
        <w:rPr>
          <w:rFonts w:ascii="Times New Roman" w:hAnsi="Times New Roman" w:cs="Times New Roman"/>
          <w:iCs/>
          <w:sz w:val="24"/>
          <w:szCs w:val="24"/>
        </w:rPr>
        <w:t xml:space="preserve"> który 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zostanie </w:t>
      </w:r>
      <w:r w:rsidRPr="00095243">
        <w:rPr>
          <w:rFonts w:ascii="Times New Roman" w:hAnsi="Times New Roman" w:cs="Times New Roman"/>
          <w:iCs/>
          <w:sz w:val="24"/>
          <w:szCs w:val="24"/>
        </w:rPr>
        <w:t>udostępniony Wykonawcy z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iCs/>
          <w:sz w:val="24"/>
          <w:szCs w:val="24"/>
        </w:rPr>
        <w:t>chwilą podpisania umowy), a w szczególności niezwłocznie po opuszczeniu budynku przez pracowników firmy sprzątającej i pracowników Zamawiającego oraz w dni wolne od pracy pracowników Zamawiającego, a także – w godzinach porannych, przed godz. 8:00 – pomieszczeń usytuowanych w piwnicy, z odnotowaniem w „Książce/Dzienniku Służby”. Celem kontroli powinno być w szczególności sprawdzenie zamknięcia okien, ewentualne wyłączenie z sieci urządzeń elektrycznych i oświetlenia oraz zamknięcia pomieszczeń;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wpisywanie zauważonych podczas kontroli pomieszczeń uchybień do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„Książki/Dziennika Służby” i zgłaszanie ich kierownictwu administracji Zamawiającego;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stałe monitorowanie w dni powszednie w godz. 8:00-18:00 pięciu miejsc parkingowych usytuowanych na wprost głównego wejścia do budynku od strony al.</w:t>
      </w:r>
      <w:r w:rsidR="00E10B7B">
        <w:rPr>
          <w:rFonts w:ascii="Times New Roman" w:hAnsi="Times New Roman" w:cs="Times New Roman"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sz w:val="24"/>
          <w:szCs w:val="24"/>
        </w:rPr>
        <w:t>J. Ch. Szucha 2/4 i</w:t>
      </w:r>
      <w:r w:rsidR="0057550C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reagowanie w sytuacjach blokowania tych miejsc przez pojazdy nieuprawnione, w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tym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inicjowanie interwencji w tej sprawie Straży Miejskiej;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przestrzeganie zasady, zgodnie z którą jednorazowy wjazd pojazdów samochodowych na wewnętrzny dziedziniec przegrodzonego bramą wewnętrzną (kl.</w:t>
      </w:r>
      <w:r w:rsidR="00E10B7B">
        <w:rPr>
          <w:rFonts w:ascii="Times New Roman" w:hAnsi="Times New Roman" w:cs="Times New Roman"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sz w:val="24"/>
          <w:szCs w:val="24"/>
        </w:rPr>
        <w:t>„C” i „D”) możliwy jest po uzyskaniu zgody pracownika administrującego siedzibą Zamawiającego, a</w:t>
      </w:r>
      <w:r w:rsidR="0057550C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w</w:t>
      </w:r>
      <w:r w:rsidR="0057550C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wypadku jego nieobecności pojazdy dostawcze i</w:t>
      </w:r>
      <w:r w:rsidR="00E10B7B">
        <w:rPr>
          <w:rFonts w:ascii="Times New Roman" w:hAnsi="Times New Roman" w:cs="Times New Roman"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sz w:val="24"/>
          <w:szCs w:val="24"/>
        </w:rPr>
        <w:t>usługodawców (wyłącznie) są</w:t>
      </w:r>
      <w:r w:rsidR="0057550C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wpuszczane w miarę możliwości, po uzyskaniu dyspozycji ustnej wydanej przez</w:t>
      </w:r>
      <w:r w:rsidR="00E10B7B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zainteresowanego kierownika komórki organizacyjnej lub jego sekretariatu.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lastRenderedPageBreak/>
        <w:t xml:space="preserve">zapisywanie celu i godzin wjazdu/wyjazdu oraz </w:t>
      </w:r>
      <w:r w:rsidRPr="0057550C">
        <w:rPr>
          <w:rFonts w:ascii="Times New Roman" w:hAnsi="Times New Roman" w:cs="Times New Roman"/>
          <w:sz w:val="24"/>
          <w:szCs w:val="24"/>
        </w:rPr>
        <w:t>numerów rejestracyjnych pojazdów wykonawców i dostawców zewnętrznych, wjeżdżających czasowo na wewnętrzny dziedziniec, za zgodą Zamawiającego;</w:t>
      </w:r>
    </w:p>
    <w:p w:rsidR="00095243" w:rsidRPr="00095243" w:rsidRDefault="00095243" w:rsidP="0057550C">
      <w:pPr>
        <w:numPr>
          <w:ilvl w:val="0"/>
          <w:numId w:val="15"/>
        </w:numPr>
        <w:tabs>
          <w:tab w:val="clear" w:pos="1131"/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0C">
        <w:rPr>
          <w:rFonts w:ascii="Times New Roman" w:hAnsi="Times New Roman" w:cs="Times New Roman"/>
          <w:sz w:val="24"/>
          <w:szCs w:val="24"/>
        </w:rPr>
        <w:t>żądanie od właściwych merytorycznie pracowników Zamawiającego pisemnego potwierdzenia legalności wynoszenia składników ruchomych mienia poza siedzibę Zamawiającego oraz odnotowywanie takiego zdarzeni</w:t>
      </w:r>
      <w:r w:rsidR="00E339BF" w:rsidRPr="0057550C">
        <w:rPr>
          <w:rFonts w:ascii="Times New Roman" w:hAnsi="Times New Roman" w:cs="Times New Roman"/>
          <w:sz w:val="24"/>
          <w:szCs w:val="24"/>
        </w:rPr>
        <w:t>a w „Książce/Dzienniku Służby”.</w:t>
      </w:r>
    </w:p>
    <w:p w:rsidR="00095243" w:rsidRPr="00095243" w:rsidRDefault="0057550C" w:rsidP="0057550C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243" w:rsidRPr="00095243">
        <w:rPr>
          <w:rFonts w:ascii="Times New Roman" w:hAnsi="Times New Roman" w:cs="Times New Roman"/>
          <w:b/>
          <w:sz w:val="24"/>
          <w:szCs w:val="24"/>
        </w:rPr>
        <w:t>Reagowanie kryzysowe</w:t>
      </w:r>
    </w:p>
    <w:p w:rsidR="00095243" w:rsidRPr="00095243" w:rsidRDefault="00095243" w:rsidP="0057550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W przypadku stwierdzenia wystąpienia miejscowego zagrożenia, to jest zdarzenia stanowiącego zagrożenie dla życia lub zdrowia osób lub zagrożenie mienia, spowodowanego w szczególności: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pożarem,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pozostawieniem na terenie siedziby Zamawiającego lub w jej obrębie niezidentyfikowanego pakunku mogącego zawierać materiały i/lub urządzenie wybuchowe,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szantażem lub groźbą w stosunku do osób w stopniu zagrażającym prawidłowości funkcjonowania urzędu Zamawiającego,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napadem terrorystycznym i akcją antyterrorystyczną,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zagrożeniem chemicznym lub biologicznym,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zagrożeniem bioterrorystycznym, </w:t>
      </w:r>
    </w:p>
    <w:p w:rsidR="00095243" w:rsidRPr="00095243" w:rsidRDefault="00095243" w:rsidP="0057550C">
      <w:pPr>
        <w:numPr>
          <w:ilvl w:val="0"/>
          <w:numId w:val="16"/>
        </w:numPr>
        <w:tabs>
          <w:tab w:val="left" w:pos="1134"/>
        </w:tabs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 xml:space="preserve">katastrofą techniczną lub budowlaną, </w:t>
      </w:r>
    </w:p>
    <w:p w:rsidR="00095243" w:rsidRPr="00095243" w:rsidRDefault="00095243" w:rsidP="0057550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5243">
        <w:rPr>
          <w:rFonts w:ascii="Times New Roman" w:hAnsi="Times New Roman" w:cs="Times New Roman"/>
          <w:sz w:val="24"/>
          <w:szCs w:val="24"/>
        </w:rPr>
        <w:t>a także w przypadku awarii technicznej, włamania itp., pracownicy Wykonawcy niezwłocznie zawiadamiają dyżurnego Wykonawcy (pełniącego stały 24 godzinny dyżur w siedzibie Wykonawcy), właściwe służby ratownicze, techniczne i porządkowe oraz</w:t>
      </w:r>
      <w:r w:rsidR="00E339BF">
        <w:rPr>
          <w:rFonts w:ascii="Times New Roman" w:hAnsi="Times New Roman" w:cs="Times New Roman"/>
          <w:sz w:val="24"/>
          <w:szCs w:val="24"/>
        </w:rPr>
        <w:t> </w:t>
      </w:r>
      <w:r w:rsidRPr="00095243">
        <w:rPr>
          <w:rFonts w:ascii="Times New Roman" w:hAnsi="Times New Roman" w:cs="Times New Roman"/>
          <w:sz w:val="24"/>
          <w:szCs w:val="24"/>
        </w:rPr>
        <w:t>upoważnionych pracowników Zamawiającego. Wystąpienie każdego z zagrożeń pracownicy Wykonawcy odnotowują w</w:t>
      </w:r>
      <w:r w:rsidR="00E339BF">
        <w:rPr>
          <w:rFonts w:ascii="Times New Roman" w:hAnsi="Times New Roman" w:cs="Times New Roman"/>
          <w:sz w:val="24"/>
          <w:szCs w:val="24"/>
        </w:rPr>
        <w:t xml:space="preserve"> </w:t>
      </w:r>
      <w:r w:rsidRPr="00095243">
        <w:rPr>
          <w:rFonts w:ascii="Times New Roman" w:hAnsi="Times New Roman" w:cs="Times New Roman"/>
          <w:sz w:val="24"/>
          <w:szCs w:val="24"/>
        </w:rPr>
        <w:t xml:space="preserve">„Książce/Dzienniku Służby” oraz szczegółowo opisują w notatce służbowej charakter zagrożenia i podjęte czynności z podaniem godzin ich wystąpienia oraz składają swoje podpisy pod notatką. </w:t>
      </w:r>
    </w:p>
    <w:p w:rsidR="00095243" w:rsidRPr="00E339BF" w:rsidRDefault="00095243" w:rsidP="0057550C">
      <w:pPr>
        <w:numPr>
          <w:ilvl w:val="0"/>
          <w:numId w:val="18"/>
        </w:numPr>
        <w:tabs>
          <w:tab w:val="clear" w:pos="1131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9BF">
        <w:rPr>
          <w:rFonts w:ascii="Times New Roman" w:hAnsi="Times New Roman" w:cs="Times New Roman"/>
          <w:iCs/>
          <w:sz w:val="24"/>
          <w:szCs w:val="24"/>
        </w:rPr>
        <w:t>W przypadku pożaru pracownicy Wykonawcy, w celu umożliwienia ewakuacji osób z zagrożonego budynku, kontrolują prawidłowość działania automatyki urządzeń systemu „KD” spowodowanego sygnalizacją alarmu pożarowego SAP, a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 xml:space="preserve">przypadku nie opadnięcia ramion barierek ewakuacyjnych i bramek, dodatkowym wyłącznikiem zamontowanym w Portierni odcinają zasilanie elektryczne „KD”, co spowoduje opadnięcie ramion urządzeń. Pracownicy </w:t>
      </w:r>
      <w:r w:rsidRPr="00E339BF">
        <w:rPr>
          <w:rFonts w:ascii="Times New Roman" w:hAnsi="Times New Roman" w:cs="Times New Roman"/>
          <w:iCs/>
          <w:sz w:val="24"/>
          <w:szCs w:val="24"/>
        </w:rPr>
        <w:lastRenderedPageBreak/>
        <w:t>Wykonawcy mają obowiązek zapoznania się i stosowania postanowień „Instrukcji Bezpieczeństwa Pożarowego dla Rządowego Centrum Legislacji w Warszawie, al. J. CH. Szucha 2/4” wprowadzonej Zarządzeniem nr 189 Prezesa Rządowego Centrum Legislacji z dnia 9 stycznia 2012 r. w sprawie bezpieczeństwa w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budynku oraz postępowania i ewakuacji pracowników Rządowego Centrum Legislacji w sytuacji miejscowego zagrożenia.</w:t>
      </w:r>
    </w:p>
    <w:p w:rsidR="00095243" w:rsidRPr="00E339BF" w:rsidRDefault="00095243" w:rsidP="0057550C">
      <w:pPr>
        <w:numPr>
          <w:ilvl w:val="0"/>
          <w:numId w:val="18"/>
        </w:numPr>
        <w:tabs>
          <w:tab w:val="clear" w:pos="1131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9BF">
        <w:rPr>
          <w:rFonts w:ascii="Times New Roman" w:hAnsi="Times New Roman" w:cs="Times New Roman"/>
          <w:iCs/>
          <w:sz w:val="24"/>
          <w:szCs w:val="24"/>
        </w:rPr>
        <w:t>W przypadku wystąpienia innego rodzaju, spośród wyżej wymienionych, miejscowego zagrożenia wymagającego ewakuacji osób przebywających w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budynku, pracownicy Wykonawcy odcinają zasilanie elektryczne „KD”, w celu umożliwienia ewakuacji z zagrożonego budynku.</w:t>
      </w:r>
    </w:p>
    <w:p w:rsidR="00095243" w:rsidRPr="00E339BF" w:rsidRDefault="00095243" w:rsidP="0057550C">
      <w:pPr>
        <w:numPr>
          <w:ilvl w:val="0"/>
          <w:numId w:val="18"/>
        </w:numPr>
        <w:tabs>
          <w:tab w:val="clear" w:pos="1131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9BF">
        <w:rPr>
          <w:rFonts w:ascii="Times New Roman" w:hAnsi="Times New Roman" w:cs="Times New Roman"/>
          <w:iCs/>
          <w:sz w:val="24"/>
          <w:szCs w:val="24"/>
        </w:rPr>
        <w:t>Przy wystąpieniu każdego z wyżej wymienionych rodzajów zagrożeń, pracownicy Wykonawcy niezwłocznie otwierają zewnętrzne drzwi wyjściowe z budynku – główne oraz przy klatkach schodowych „B”, „C” i „D”, w celu umożliwienia ewakuacji osób z zagrożonego budynku.</w:t>
      </w:r>
    </w:p>
    <w:p w:rsidR="00095243" w:rsidRPr="00095243" w:rsidRDefault="00095243" w:rsidP="0057550C">
      <w:pPr>
        <w:numPr>
          <w:ilvl w:val="0"/>
          <w:numId w:val="18"/>
        </w:numPr>
        <w:tabs>
          <w:tab w:val="clear" w:pos="1131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9BF">
        <w:rPr>
          <w:rFonts w:ascii="Times New Roman" w:hAnsi="Times New Roman" w:cs="Times New Roman"/>
          <w:iCs/>
          <w:sz w:val="24"/>
          <w:szCs w:val="24"/>
        </w:rPr>
        <w:t>W przypadku wystąpienia po godzinach pracy Zamawiającego lub w dni wolne od pracy awarii technicznej, dotyczącej instalacji elektrycznej, wodno-kanalizacyjnej, centralnego ogrzewania lub instalacji i urządzeń wymienionych w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pkt. 8 ppkt 1) – 6), pracownicy Wykonawcy usuwają z zagrożonego rejonu sprzęt informatyczny oraz dokumenty, a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9BF">
        <w:rPr>
          <w:rFonts w:ascii="Times New Roman" w:hAnsi="Times New Roman" w:cs="Times New Roman"/>
          <w:iCs/>
          <w:sz w:val="24"/>
          <w:szCs w:val="24"/>
        </w:rPr>
        <w:t>następnie powiadamiają o awarii właściwego konserwatora instalacji i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9BF">
        <w:rPr>
          <w:rFonts w:ascii="Times New Roman" w:hAnsi="Times New Roman" w:cs="Times New Roman"/>
          <w:iCs/>
          <w:sz w:val="24"/>
          <w:szCs w:val="24"/>
        </w:rPr>
        <w:t>wzywają go do przybycia do siedziby Zamawiającego lub gdy jest to bezwzględnie konieczne – w pierwszej kolejności wzywają zewnętrzne służby techniczne (pogotowie energetyczne, wodno-kanalizacyjne, ciepłownicze) i powiadamiają niezwłocznie konserwatora i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pracownika Zamawiającego administrującego budynkiem, informując o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podjętych działaniach.</w:t>
      </w:r>
    </w:p>
    <w:p w:rsidR="00095243" w:rsidRPr="00095243" w:rsidRDefault="00095243" w:rsidP="0057550C">
      <w:pPr>
        <w:numPr>
          <w:ilvl w:val="0"/>
          <w:numId w:val="18"/>
        </w:numPr>
        <w:tabs>
          <w:tab w:val="clear" w:pos="1131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9BF">
        <w:rPr>
          <w:rFonts w:ascii="Times New Roman" w:hAnsi="Times New Roman" w:cs="Times New Roman"/>
          <w:iCs/>
          <w:sz w:val="24"/>
          <w:szCs w:val="24"/>
        </w:rPr>
        <w:t>W przypadku włamania lub usiłowania włamania, mającego miejsce po godzinach pracy Zamawiającego lub w dni wolne od pracy, pracownicy Wykonawcy niezwłocznie powiadamiają o zdarzeniu Policję, dyżurnego Wykonawcy w celu przywołania patrolu interwencyjnego do zabezpieczenia miejsca włamania oraz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pracownika Zamawiającego administrującego budynkiem. Zabezpiec</w:t>
      </w:r>
      <w:r w:rsidRPr="00095243">
        <w:rPr>
          <w:rFonts w:ascii="Times New Roman" w:hAnsi="Times New Roman" w:cs="Times New Roman"/>
          <w:iCs/>
          <w:sz w:val="24"/>
          <w:szCs w:val="24"/>
        </w:rPr>
        <w:t>z</w:t>
      </w:r>
      <w:r w:rsidRPr="00E339BF">
        <w:rPr>
          <w:rFonts w:ascii="Times New Roman" w:hAnsi="Times New Roman" w:cs="Times New Roman"/>
          <w:iCs/>
          <w:sz w:val="24"/>
          <w:szCs w:val="24"/>
        </w:rPr>
        <w:t>enie miejsca włamania lub usiłowania włamania ma na celu niedopuszczenie do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E339BF">
        <w:rPr>
          <w:rFonts w:ascii="Times New Roman" w:hAnsi="Times New Roman" w:cs="Times New Roman"/>
          <w:iCs/>
          <w:sz w:val="24"/>
          <w:szCs w:val="24"/>
        </w:rPr>
        <w:t>zatarcia śladów i</w:t>
      </w:r>
      <w:r w:rsidR="00E10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39BF">
        <w:rPr>
          <w:rFonts w:ascii="Times New Roman" w:hAnsi="Times New Roman" w:cs="Times New Roman"/>
          <w:iCs/>
          <w:sz w:val="24"/>
          <w:szCs w:val="24"/>
        </w:rPr>
        <w:t>uniemożliwienie wstępu osobom postronnym, w tym pracownikom Zamawiającego. Po przybyciu Policji, pracownicy Wykonawcy przekazują istotne informacje /wyjaśnienia oraz udzielają niezbędnej pomocy.</w:t>
      </w:r>
    </w:p>
    <w:p w:rsidR="00095243" w:rsidRPr="00E339BF" w:rsidRDefault="00095243" w:rsidP="0057550C">
      <w:pPr>
        <w:numPr>
          <w:ilvl w:val="0"/>
          <w:numId w:val="18"/>
        </w:numPr>
        <w:tabs>
          <w:tab w:val="clear" w:pos="1131"/>
          <w:tab w:val="left" w:pos="1134"/>
        </w:tabs>
        <w:autoSpaceDE w:val="0"/>
        <w:autoSpaceDN w:val="0"/>
        <w:spacing w:after="0" w:line="36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lastRenderedPageBreak/>
        <w:t>W przypadku uaktywnienia się sygnału alarmowego zainstalowanego w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Kancelarii Tajnej (KT) w siedzibie Zamawiającego lub wystąpienia jednego z</w:t>
      </w:r>
      <w:r w:rsidR="0057550C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wyżej wymienionych zagrożeń w strefie bezpieczeństwa KT i w rejonie bezpośrednio do niej przyległym, pracownicy Wykonawcy niezwłocznie powiadamiają także Pełnomocnika ds. Ochrony Informacji Niejawnych Zamawiającego – tel. kom. ……………….., a także pracownika Kancelarii Tajnej – tel. kom. ……………….. .</w:t>
      </w:r>
    </w:p>
    <w:p w:rsidR="00095243" w:rsidRPr="00095243" w:rsidRDefault="00095243" w:rsidP="000952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5243" w:rsidRPr="00095243" w:rsidRDefault="00095243" w:rsidP="000952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243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095243" w:rsidRPr="00095243" w:rsidRDefault="00095243" w:rsidP="00E10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243">
        <w:rPr>
          <w:rFonts w:ascii="Times New Roman" w:hAnsi="Times New Roman" w:cs="Times New Roman"/>
          <w:iCs/>
          <w:sz w:val="24"/>
          <w:szCs w:val="24"/>
        </w:rPr>
        <w:t>Zasady przeprowadzania obchodów patrolowanych pomieszczeń w budynku biurowym oraz</w:t>
      </w:r>
      <w:r w:rsidR="00E10B7B">
        <w:rPr>
          <w:rFonts w:ascii="Times New Roman" w:hAnsi="Times New Roman" w:cs="Times New Roman"/>
          <w:iCs/>
          <w:sz w:val="24"/>
          <w:szCs w:val="24"/>
        </w:rPr>
        <w:t> </w:t>
      </w:r>
      <w:r w:rsidRPr="00095243">
        <w:rPr>
          <w:rFonts w:ascii="Times New Roman" w:hAnsi="Times New Roman" w:cs="Times New Roman"/>
          <w:iCs/>
          <w:sz w:val="24"/>
          <w:szCs w:val="24"/>
        </w:rPr>
        <w:t>lokali biurowych zloka</w:t>
      </w:r>
      <w:r w:rsidR="00E10B7B">
        <w:rPr>
          <w:rFonts w:ascii="Times New Roman" w:hAnsi="Times New Roman" w:cs="Times New Roman"/>
          <w:iCs/>
          <w:sz w:val="24"/>
          <w:szCs w:val="24"/>
        </w:rPr>
        <w:t>lizowanych w części mieszkalnej</w:t>
      </w:r>
    </w:p>
    <w:p w:rsidR="00095243" w:rsidRPr="00857B48" w:rsidRDefault="00095243" w:rsidP="00857B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5243" w:rsidRPr="00857B48" w:rsidSect="0009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E3" w:rsidRDefault="00BF6EE3">
      <w:pPr>
        <w:spacing w:after="0" w:line="240" w:lineRule="auto"/>
      </w:pPr>
      <w:r>
        <w:separator/>
      </w:r>
    </w:p>
  </w:endnote>
  <w:endnote w:type="continuationSeparator" w:id="0">
    <w:p w:rsidR="00BF6EE3" w:rsidRDefault="00BF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E3" w:rsidRDefault="00BF6EE3">
      <w:pPr>
        <w:spacing w:after="0" w:line="240" w:lineRule="auto"/>
      </w:pPr>
      <w:r>
        <w:separator/>
      </w:r>
    </w:p>
  </w:footnote>
  <w:footnote w:type="continuationSeparator" w:id="0">
    <w:p w:rsidR="00BF6EE3" w:rsidRDefault="00BF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E327CAE"/>
    <w:lvl w:ilvl="0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b w:val="0"/>
        <w:i w:val="0"/>
        <w:sz w:val="24"/>
        <w:szCs w:val="24"/>
      </w:rPr>
    </w:lvl>
  </w:abstractNum>
  <w:abstractNum w:abstractNumId="1">
    <w:nsid w:val="075A3E71"/>
    <w:multiLevelType w:val="hybridMultilevel"/>
    <w:tmpl w:val="546A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E4"/>
    <w:multiLevelType w:val="hybridMultilevel"/>
    <w:tmpl w:val="76B6A6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EC0459"/>
    <w:multiLevelType w:val="hybridMultilevel"/>
    <w:tmpl w:val="FAE604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223766"/>
    <w:multiLevelType w:val="hybridMultilevel"/>
    <w:tmpl w:val="144E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224D27"/>
    <w:multiLevelType w:val="hybridMultilevel"/>
    <w:tmpl w:val="292A8058"/>
    <w:lvl w:ilvl="0" w:tplc="BB7C1202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B6387"/>
    <w:multiLevelType w:val="hybridMultilevel"/>
    <w:tmpl w:val="016C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74439"/>
    <w:multiLevelType w:val="hybridMultilevel"/>
    <w:tmpl w:val="0F521E68"/>
    <w:lvl w:ilvl="0" w:tplc="DD5EE8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504DF9"/>
    <w:multiLevelType w:val="hybridMultilevel"/>
    <w:tmpl w:val="3E6C1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B4D70E5"/>
    <w:multiLevelType w:val="hybridMultilevel"/>
    <w:tmpl w:val="F2D6BB2A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905C1"/>
    <w:multiLevelType w:val="hybridMultilevel"/>
    <w:tmpl w:val="482663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8182074"/>
    <w:multiLevelType w:val="hybridMultilevel"/>
    <w:tmpl w:val="7C8C9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A1B03"/>
    <w:multiLevelType w:val="hybridMultilevel"/>
    <w:tmpl w:val="7CAEABD8"/>
    <w:lvl w:ilvl="0" w:tplc="3A647FC4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637E64FA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2A8A76FE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FA2035A8">
      <w:start w:val="1"/>
      <w:numFmt w:val="decimal"/>
      <w:lvlText w:val="%4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F"/>
    <w:rsid w:val="00006F4C"/>
    <w:rsid w:val="00095243"/>
    <w:rsid w:val="0012491E"/>
    <w:rsid w:val="00241601"/>
    <w:rsid w:val="002724B0"/>
    <w:rsid w:val="0057550C"/>
    <w:rsid w:val="006162CC"/>
    <w:rsid w:val="00630212"/>
    <w:rsid w:val="007762E3"/>
    <w:rsid w:val="007B0F63"/>
    <w:rsid w:val="007C4B20"/>
    <w:rsid w:val="008166CE"/>
    <w:rsid w:val="00857B48"/>
    <w:rsid w:val="009D48C0"/>
    <w:rsid w:val="00A36DA3"/>
    <w:rsid w:val="00B40193"/>
    <w:rsid w:val="00BF6EE3"/>
    <w:rsid w:val="00D523DF"/>
    <w:rsid w:val="00D858E7"/>
    <w:rsid w:val="00E10B7B"/>
    <w:rsid w:val="00E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72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857B4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7B48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57B48"/>
    <w:rPr>
      <w:rFonts w:ascii="Calibri" w:eastAsia="Times New Roman" w:hAnsi="Calibri" w:cs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8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57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5243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243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72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857B4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7B48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57B48"/>
    <w:rPr>
      <w:rFonts w:ascii="Calibri" w:eastAsia="Times New Roman" w:hAnsi="Calibri" w:cs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85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57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5243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243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Dorota</dc:creator>
  <cp:lastModifiedBy>Ostrowski Maciej</cp:lastModifiedBy>
  <cp:revision>8</cp:revision>
  <cp:lastPrinted>2018-01-03T07:55:00Z</cp:lastPrinted>
  <dcterms:created xsi:type="dcterms:W3CDTF">2017-12-22T09:37:00Z</dcterms:created>
  <dcterms:modified xsi:type="dcterms:W3CDTF">2018-04-03T09:16:00Z</dcterms:modified>
</cp:coreProperties>
</file>